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Gray Code Structured Light</w:t>
      </w:r>
    </w:p>
    <w:p>
      <w:r>
        <w:rPr>
          <w:color w:val="606060"/>
          <w:sz w:val="22"/>
        </w:rPr>
        <w:t>module_05 | Grade 8-12 | 5 days</w:t>
      </w:r>
    </w:p>
    <w:p/>
    <w:p>
      <w:pPr>
        <w:pStyle w:val="Heading1"/>
      </w:pPr>
      <w:r>
        <w:t>Module Overview</w:t>
      </w:r>
    </w:p>
    <w:p>
      <w:r>
        <w:t>In this module, students will explore Gray Code Structured Light and its applications in identifying positions using projected patterns. They will engage in hands-on activities with the ASCAND instrument, learning the principles of binary encoding, Gray code conversion, and the significance of reducing transition ambiguity to improve position identification. By the end of the module, students will understand how structured optical projection works and how various factors can influence measurement accuracy.</w:t>
      </w:r>
    </w:p>
    <w:p>
      <w:pPr>
        <w:pStyle w:val="Heading1"/>
      </w:pPr>
      <w:r>
        <w:t>Background Content</w:t>
      </w:r>
    </w:p>
    <w:p>
      <w:pPr>
        <w:pStyle w:val="Heading2"/>
      </w:pPr>
      <w:r>
        <w:t>Technical Depth</w:t>
      </w:r>
    </w:p>
    <w:p>
      <w:r>
        <w:t>Gray code is a binary numeral system where consecutive values differ by only one bit, reducing transition ambiguity and making it ideal for structured light applications. When projected onto an object, these patterns allow for precise spatial encoding. ASCAND employs structured optical projection to analyze the deformation of these patterns, enabling depth estimation through AI-based analysis and sensor fusion. It's essential for instructors to understand the distinction between direct measurement, derived calculation, and AI-inferred estimation, as this will inform their teaching approach. Understanding how these elements interact will help educators clarify the processes involved in 3D scanning and the limitations of each technique.</w:t>
      </w:r>
    </w:p>
    <w:p>
      <w:pPr>
        <w:pStyle w:val="Heading1"/>
      </w:pPr>
      <w:r>
        <w:t>Session Plans</w:t>
      </w:r>
    </w:p>
    <w:p>
      <w:pPr>
        <w:pStyle w:val="Heading2"/>
      </w:pPr>
      <w:r>
        <w:t>Introduction to Binary and Gray Code</w:t>
      </w:r>
    </w:p>
    <w:p>
      <w:r>
        <w:t>Session Number: 1</w:t>
      </w:r>
    </w:p>
    <w:p>
      <w:pPr>
        <w:pStyle w:val="Heading3"/>
      </w:pPr>
      <w:r>
        <w:t>Objectives</w:t>
      </w:r>
    </w:p>
    <w:p>
      <w:pPr>
        <w:pStyle w:val="ListBullet"/>
      </w:pPr>
      <w:r>
        <w:t>Explain how binary patterns encode spatial positions.</w:t>
      </w:r>
    </w:p>
    <w:p>
      <w:pPr>
        <w:pStyle w:val="ListBullet"/>
      </w:pPr>
      <w:r>
        <w:t>Convert between binary and Gray code for short bit sequences.</w:t>
      </w:r>
    </w:p>
    <w:p>
      <w:pPr>
        <w:pStyle w:val="Heading3"/>
      </w:pPr>
      <w:r>
        <w:t>Activities</w:t>
      </w:r>
    </w:p>
    <w:p>
      <w:pPr>
        <w:pStyle w:val="ListBullet"/>
      </w:pPr>
      <w:r>
        <w:t>Begin with a discussion on binary numbers and their relevance in computing.</w:t>
      </w:r>
    </w:p>
    <w:p>
      <w:pPr>
        <w:pStyle w:val="ListBullet"/>
      </w:pPr>
      <w:r>
        <w:t>Introduce Gray code and illustrate how it differs from binary using examples.</w:t>
      </w:r>
    </w:p>
    <w:p>
      <w:pPr>
        <w:pStyle w:val="ListBullet"/>
      </w:pPr>
      <w:r>
        <w:t>Engage students in a hands-on activity where they convert binary numbers to Gray code and vice versa.</w:t>
      </w:r>
    </w:p>
    <w:p>
      <w:pPr>
        <w:pStyle w:val="Heading3"/>
      </w:pPr>
      <w:r>
        <w:t>Materials</w:t>
      </w:r>
    </w:p>
    <w:p>
      <w:pPr>
        <w:pStyle w:val="ListBullet"/>
      </w:pPr>
      <w:r>
        <w:t>Whiteboard and markers</w:t>
      </w:r>
    </w:p>
    <w:p>
      <w:pPr>
        <w:pStyle w:val="ListBullet"/>
      </w:pPr>
      <w:r>
        <w:t>Binary and Gray code conversion worksheets</w:t>
      </w:r>
    </w:p>
    <w:p>
      <w:pPr>
        <w:pStyle w:val="Heading2"/>
      </w:pPr>
      <w:r>
        <w:t>Understanding Gray Code Ambiguity</w:t>
      </w:r>
    </w:p>
    <w:p>
      <w:r>
        <w:t>Session Number: 2</w:t>
      </w:r>
    </w:p>
    <w:p>
      <w:pPr>
        <w:pStyle w:val="Heading3"/>
      </w:pPr>
      <w:r>
        <w:t>Objectives</w:t>
      </w:r>
    </w:p>
    <w:p>
      <w:pPr>
        <w:pStyle w:val="ListBullet"/>
      </w:pPr>
      <w:r>
        <w:t>Explain why adjacent Gray code values differ by one bit and how this reduces transition ambiguity.</w:t>
      </w:r>
    </w:p>
    <w:p>
      <w:pPr>
        <w:pStyle w:val="Heading3"/>
      </w:pPr>
      <w:r>
        <w:t>Activities</w:t>
      </w:r>
    </w:p>
    <w:p>
      <w:pPr>
        <w:pStyle w:val="ListBullet"/>
      </w:pPr>
      <w:r>
        <w:t>Facilitate a group discussion on the implications of Gray code in reducing errors.</w:t>
      </w:r>
    </w:p>
    <w:p>
      <w:pPr>
        <w:pStyle w:val="ListBullet"/>
      </w:pPr>
      <w:r>
        <w:t>Conduct a simulation activity where students visualize the transition between binary values and their Gray code equivalents.</w:t>
      </w:r>
    </w:p>
    <w:p>
      <w:pPr>
        <w:pStyle w:val="Heading3"/>
      </w:pPr>
      <w:r>
        <w:t>Materials</w:t>
      </w:r>
    </w:p>
    <w:p>
      <w:pPr>
        <w:pStyle w:val="ListBullet"/>
      </w:pPr>
      <w:r>
        <w:t>Simulation software or online tools</w:t>
      </w:r>
    </w:p>
    <w:p>
      <w:pPr>
        <w:pStyle w:val="ListBullet"/>
      </w:pPr>
      <w:r>
        <w:t>Projector for group discussions</w:t>
      </w:r>
    </w:p>
    <w:p>
      <w:pPr>
        <w:pStyle w:val="Heading2"/>
      </w:pPr>
      <w:r>
        <w:t>Decoding Patterns and Identifying Positions</w:t>
      </w:r>
    </w:p>
    <w:p>
      <w:r>
        <w:t>Session Number: 3</w:t>
      </w:r>
    </w:p>
    <w:p>
      <w:pPr>
        <w:pStyle w:val="Heading3"/>
      </w:pPr>
      <w:r>
        <w:t>Objectives</w:t>
      </w:r>
    </w:p>
    <w:p>
      <w:pPr>
        <w:pStyle w:val="ListBullet"/>
      </w:pPr>
      <w:r>
        <w:t>Decode an observed pattern sequence to identify a position.</w:t>
      </w:r>
    </w:p>
    <w:p>
      <w:pPr>
        <w:pStyle w:val="ListBullet"/>
      </w:pPr>
      <w:r>
        <w:t>Evaluate how shadows, reflections, or low contrast can cause decoding errors.</w:t>
      </w:r>
    </w:p>
    <w:p>
      <w:pPr>
        <w:pStyle w:val="Heading3"/>
      </w:pPr>
      <w:r>
        <w:t>Activities</w:t>
      </w:r>
    </w:p>
    <w:p>
      <w:pPr>
        <w:pStyle w:val="ListBullet"/>
      </w:pPr>
      <w:r>
        <w:t>Introduce students to the ASCAND instrument and demonstrate its operation.</w:t>
      </w:r>
    </w:p>
    <w:p>
      <w:pPr>
        <w:pStyle w:val="ListBullet"/>
      </w:pPr>
      <w:r>
        <w:t>Have students perform a hands-on scanning activity, then decode the patterns observed.</w:t>
      </w:r>
    </w:p>
    <w:p>
      <w:pPr>
        <w:pStyle w:val="ListBullet"/>
      </w:pPr>
      <w:r>
        <w:t>Discuss the potential errors they encountered and how environmental factors impacted their results.</w:t>
      </w:r>
    </w:p>
    <w:p>
      <w:pPr>
        <w:pStyle w:val="Heading3"/>
      </w:pPr>
      <w:r>
        <w:t>Materials</w:t>
      </w:r>
    </w:p>
    <w:p>
      <w:pPr>
        <w:pStyle w:val="ListBullet"/>
      </w:pPr>
      <w:r>
        <w:t>ASCAND instrument</w:t>
      </w:r>
    </w:p>
    <w:p>
      <w:pPr>
        <w:pStyle w:val="ListBullet"/>
      </w:pPr>
      <w:r>
        <w:t>Scanning area with various objects</w:t>
      </w:r>
    </w:p>
    <w:p>
      <w:pPr>
        <w:pStyle w:val="ListBullet"/>
      </w:pPr>
      <w:r>
        <w:t>Data analysis sheets</w:t>
      </w:r>
    </w:p>
    <w:p>
      <w:pPr>
        <w:pStyle w:val="Heading2"/>
      </w:pPr>
      <w:r>
        <w:t>Exploring Measurement Uncertainty</w:t>
      </w:r>
    </w:p>
    <w:p>
      <w:r>
        <w:t>Session Number: 4</w:t>
      </w:r>
    </w:p>
    <w:p>
      <w:pPr>
        <w:pStyle w:val="Heading3"/>
      </w:pPr>
      <w:r>
        <w:t>Objectives</w:t>
      </w:r>
    </w:p>
    <w:p>
      <w:pPr>
        <w:pStyle w:val="ListBullet"/>
      </w:pPr>
      <w:r>
        <w:t>Evaluate how shadows, reflections, or low contrast can cause decoding errors.</w:t>
      </w:r>
    </w:p>
    <w:p>
      <w:pPr>
        <w:pStyle w:val="Heading3"/>
      </w:pPr>
      <w:r>
        <w:t>Activities</w:t>
      </w:r>
    </w:p>
    <w:p>
      <w:pPr>
        <w:pStyle w:val="ListBullet"/>
      </w:pPr>
      <w:r>
        <w:t>Organize a lab where students vary environmental conditions while scanning the same object.</w:t>
      </w:r>
    </w:p>
    <w:p>
      <w:pPr>
        <w:pStyle w:val="ListBullet"/>
      </w:pPr>
      <w:r>
        <w:t>In small groups, students will analyze how different conditions affected their measurements and document their findings.</w:t>
      </w:r>
    </w:p>
    <w:p>
      <w:pPr>
        <w:pStyle w:val="Heading3"/>
      </w:pPr>
      <w:r>
        <w:t>Materials</w:t>
      </w:r>
    </w:p>
    <w:p>
      <w:pPr>
        <w:pStyle w:val="ListBullet"/>
      </w:pPr>
      <w:r>
        <w:t>ASCAND instrument</w:t>
      </w:r>
    </w:p>
    <w:p>
      <w:pPr>
        <w:pStyle w:val="ListBullet"/>
      </w:pPr>
      <w:r>
        <w:t>Objects with varying textures and colors</w:t>
      </w:r>
    </w:p>
    <w:p>
      <w:pPr>
        <w:pStyle w:val="ListBullet"/>
      </w:pPr>
      <w:r>
        <w:t>Measurement uncertainty analysis worksheets</w:t>
      </w:r>
    </w:p>
    <w:p>
      <w:pPr>
        <w:pStyle w:val="Heading2"/>
      </w:pPr>
      <w:r>
        <w:t>Engineering Design Process with ASCAND</w:t>
      </w:r>
    </w:p>
    <w:p>
      <w:r>
        <w:t>Session Number: 5</w:t>
      </w:r>
    </w:p>
    <w:p>
      <w:pPr>
        <w:pStyle w:val="Heading3"/>
      </w:pPr>
      <w:r>
        <w:t>Objectives</w:t>
      </w:r>
    </w:p>
    <w:p>
      <w:pPr>
        <w:pStyle w:val="ListBullet"/>
      </w:pPr>
      <w:r>
        <w:t>Apply engineering design thinking to define a problem, ideate solutions, prototype, test, and iterate.</w:t>
      </w:r>
    </w:p>
    <w:p>
      <w:pPr>
        <w:pStyle w:val="Heading3"/>
      </w:pPr>
      <w:r>
        <w:t>Activities</w:t>
      </w:r>
    </w:p>
    <w:p>
      <w:pPr>
        <w:pStyle w:val="ListBullet"/>
      </w:pPr>
      <w:r>
        <w:t>Present a real-world problem that could be solved using ASCAND technology.</w:t>
      </w:r>
    </w:p>
    <w:p>
      <w:pPr>
        <w:pStyle w:val="ListBullet"/>
      </w:pPr>
      <w:r>
        <w:t>Guide students through the engineering design process to develop their own scanning project.</w:t>
      </w:r>
    </w:p>
    <w:p>
      <w:pPr>
        <w:pStyle w:val="ListBullet"/>
      </w:pPr>
      <w:r>
        <w:t>Have students present their projects and reflect on the design process and outcomes.</w:t>
      </w:r>
    </w:p>
    <w:p>
      <w:pPr>
        <w:pStyle w:val="Heading3"/>
      </w:pPr>
      <w:r>
        <w:t>Materials</w:t>
      </w:r>
    </w:p>
    <w:p>
      <w:pPr>
        <w:pStyle w:val="ListBullet"/>
      </w:pPr>
      <w:r>
        <w:t>Projector for presentations</w:t>
      </w:r>
    </w:p>
    <w:p>
      <w:pPr>
        <w:pStyle w:val="ListBullet"/>
      </w:pPr>
      <w:r>
        <w:t>Engineering design process worksheets</w:t>
      </w:r>
    </w:p>
    <w:p>
      <w:pPr>
        <w:pStyle w:val="ListBullet"/>
      </w:pPr>
      <w:r>
        <w:t>ASCAND instrument for prototyping</w:t>
      </w:r>
    </w:p>
    <w:p>
      <w:pPr>
        <w:pStyle w:val="Heading1"/>
      </w:pPr>
      <w:r>
        <w:t>Common Misconceptions</w:t>
      </w:r>
    </w:p>
    <w:p>
      <w:pPr>
        <w:pStyle w:val="Heading2"/>
      </w:pPr>
      <w:r>
        <w:t>Misconceptions</w:t>
      </w:r>
    </w:p>
    <w:p>
      <w:pPr>
        <w:pStyle w:val="Heading4"/>
      </w:pPr>
      <w:r>
        <w:t>Misconception</w:t>
      </w:r>
    </w:p>
    <w:p>
      <w:r>
        <w:t>Gray code is the same as a regular striped pattern.</w:t>
      </w:r>
    </w:p>
    <w:p>
      <w:pPr>
        <w:pStyle w:val="Heading4"/>
      </w:pPr>
      <w:r>
        <w:t>Correction</w:t>
      </w:r>
    </w:p>
    <w:p>
      <w:r>
        <w:t>Gray code encodes position; simple stripes do not provide unique position information.</w:t>
      </w:r>
    </w:p>
    <w:p>
      <w:pPr>
        <w:pStyle w:val="Heading4"/>
      </w:pPr>
      <w:r>
        <w:t>Misconception</w:t>
      </w:r>
    </w:p>
    <w:p>
      <w:r>
        <w:t>Gray code directly measures depth.</w:t>
      </w:r>
    </w:p>
    <w:p>
      <w:pPr>
        <w:pStyle w:val="Heading4"/>
      </w:pPr>
      <w:r>
        <w:t>Correction</w:t>
      </w:r>
    </w:p>
    <w:p>
      <w:r>
        <w:t>Gray code encodes angular position; depth requires geometric computation or additional sensing.</w:t>
      </w:r>
    </w:p>
    <w:p>
      <w:pPr>
        <w:pStyle w:val="Heading2"/>
      </w:pPr>
      <w:r>
        <w:t>How To Address</w:t>
      </w:r>
    </w:p>
    <w:p>
      <w:pPr>
        <w:pStyle w:val="ListBullet"/>
      </w:pPr>
      <w:r>
        <w:t>Use visual aids to illustrate the differences between Gray code and simple patterns.</w:t>
      </w:r>
    </w:p>
    <w:p>
      <w:pPr>
        <w:pStyle w:val="ListBullet"/>
      </w:pPr>
      <w:r>
        <w:t>Incorporate practical examples that show how depth measurement relies on more than just pattern recognition.</w:t>
      </w:r>
    </w:p>
    <w:p>
      <w:pPr>
        <w:pStyle w:val="Heading1"/>
      </w:pPr>
      <w:r>
        <w:t>Differentiation Strategies</w:t>
      </w:r>
    </w:p>
    <w:p>
      <w:pPr>
        <w:pStyle w:val="Heading2"/>
      </w:pPr>
      <w:r>
        <w:t>Supports</w:t>
      </w:r>
    </w:p>
    <w:p>
      <w:pPr>
        <w:pStyle w:val="ListBullet"/>
      </w:pPr>
      <w:r>
        <w:t>Provide additional scaffolding for students who struggle with binary and Gray code concepts, such as step-by-step guides.</w:t>
      </w:r>
    </w:p>
    <w:p>
      <w:pPr>
        <w:pStyle w:val="ListBullet"/>
      </w:pPr>
      <w:r>
        <w:t>Pair struggling students with peers who can assist in hands-on activities.</w:t>
      </w:r>
    </w:p>
    <w:p>
      <w:pPr>
        <w:pStyle w:val="Heading2"/>
      </w:pPr>
      <w:r>
        <w:t>Extensions</w:t>
      </w:r>
    </w:p>
    <w:p>
      <w:pPr>
        <w:pStyle w:val="ListBullet"/>
      </w:pPr>
      <w:r>
        <w:t>Encourage advanced students to explore more complex Gray code sequences or investigate alternative encoding methods.</w:t>
      </w:r>
    </w:p>
    <w:p>
      <w:pPr>
        <w:pStyle w:val="ListBullet"/>
      </w:pPr>
      <w:r>
        <w:t>Assign projects that require students to design their own structured light patterns for specific applications.</w:t>
      </w:r>
    </w:p>
    <w:p>
      <w:pPr>
        <w:pStyle w:val="Heading1"/>
      </w:pPr>
      <w:r>
        <w:t>Formative Assessment Suggestions</w:t>
      </w:r>
    </w:p>
    <w:p>
      <w:pPr>
        <w:pStyle w:val="ListBullet"/>
      </w:pPr>
      <w:r>
        <w:t>Conduct exit tickets at the end of each session to gauge understanding of key concepts.</w:t>
      </w:r>
    </w:p>
    <w:p>
      <w:pPr>
        <w:pStyle w:val="ListBullet"/>
      </w:pPr>
      <w:r>
        <w:t>Use peer assessments during group activities to encourage collaborative learning and self-reflection.</w:t>
      </w:r>
    </w:p>
    <w:p>
      <w:pPr>
        <w:pStyle w:val="ListBullet"/>
      </w:pPr>
      <w:r>
        <w:t>Implement quizzes that focus on distinguishing between measurement, calculation, and estimation to reinforce critical distinctions.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