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Depth Estimation</w:t>
      </w:r>
    </w:p>
    <w:p>
      <w:r>
        <w:rPr>
          <w:color w:val="606060"/>
          <w:sz w:val="22"/>
        </w:rPr>
        <w:t>module_07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einheitlich</w:t>
      </w:r>
    </w:p>
    <w:p>
      <w:pPr>
        <w:pStyle w:val="Heading2"/>
      </w:pPr>
      <w:r>
        <w:t>Observations</w:t>
      </w:r>
    </w:p>
    <w:p>
      <w:pPr>
        <w:pStyle w:val="ListBullet"/>
      </w:pPr>
      <w:r>
        <w:t>In allen Materialien wird der Begriff '3D-Scanning' konsistent verwendet.</w:t>
      </w:r>
    </w:p>
    <w:p>
      <w:pPr>
        <w:pStyle w:val="ListBullet"/>
      </w:pPr>
      <w:r>
        <w:t>Die Terminologie bezüglich der verwendeten Technologien (z.B. 'Laser-Scanning', 'Fotogrammetrie') ist durchgehend korrekt und einheitlich.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Alignment</w:t>
      </w:r>
    </w:p>
    <w:p>
      <w:r>
        <w:t>teilweise übereinstimmend</w:t>
      </w:r>
    </w:p>
    <w:p>
      <w:pPr>
        <w:pStyle w:val="Heading2"/>
      </w:pPr>
      <w:r>
        <w:t>Observations</w:t>
      </w:r>
    </w:p>
    <w:p>
      <w:pPr>
        <w:pStyle w:val="ListBullet"/>
      </w:pPr>
      <w:r>
        <w:t>Die Lernziele in den verschiedenen Materialien sind nicht immer klar aufeinander abgestimmt.</w:t>
      </w:r>
    </w:p>
    <w:p>
      <w:pPr>
        <w:pStyle w:val="ListBullet"/>
      </w:pPr>
      <w:r>
        <w:t>Einige Materialien fokussieren mehr auf die technischen Aspekte des 3D-Scannings, während andere mehr auf die praktischen Anwendungen eingehen.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Alignment</w:t>
      </w:r>
    </w:p>
    <w:p>
      <w:r>
        <w:t>inkonsistent</w:t>
      </w:r>
    </w:p>
    <w:p>
      <w:pPr>
        <w:pStyle w:val="Heading2"/>
      </w:pPr>
      <w:r>
        <w:t>Observations</w:t>
      </w:r>
    </w:p>
    <w:p>
      <w:pPr>
        <w:pStyle w:val="ListBullet"/>
      </w:pPr>
      <w:r>
        <w:t>Die Struktur der Sitzungen variiert erheblich zwischen den Artefakten, was zu Verwirrung bei den Lernenden führen kann.</w:t>
      </w:r>
    </w:p>
    <w:p>
      <w:pPr>
        <w:pStyle w:val="ListBullet"/>
      </w:pPr>
      <w:r>
        <w:t>Einige Materialien beginnen mit einer theoretischen Einführung, während andere direkt in praktische Übungen übergehen.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Alignment</w:t>
      </w:r>
    </w:p>
    <w:p>
      <w:r>
        <w:t>teilweise übereinstimmend</w:t>
      </w:r>
    </w:p>
    <w:p>
      <w:pPr>
        <w:pStyle w:val="Heading2"/>
      </w:pPr>
      <w:r>
        <w:t>Observations</w:t>
      </w:r>
    </w:p>
    <w:p>
      <w:pPr>
        <w:pStyle w:val="ListBullet"/>
      </w:pPr>
      <w:r>
        <w:t>Die Bewertungen sind nicht immer direkt auf die Lernziele abgestimmt.</w:t>
      </w:r>
    </w:p>
    <w:p>
      <w:pPr>
        <w:pStyle w:val="ListBullet"/>
      </w:pPr>
      <w:r>
        <w:t>In einigen Fällen werden die Lernenden über Themen getestet, die nicht explizit in den Lernzielen erwähnt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