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AI Depth Estimation</w:t>
      </w:r>
    </w:p>
    <w:p>
      <w:r>
        <w:rPr>
          <w:color w:val="606060"/>
          <w:sz w:val="22"/>
        </w:rPr>
        <w:t>module_07 | Grade 8-12 | 5 days</w:t>
      </w:r>
    </w:p>
    <w:p/>
    <w:p>
      <w:pPr>
        <w:pStyle w:val="Heading1"/>
      </w:pPr>
      <w:r>
        <w:t>Moduleoverview</w:t>
      </w:r>
    </w:p>
    <w:p>
      <w:r>
        <w:t>In diesem Modul lernen die Schüler, wie ein KI-Modell Tiefe aus visuellen Mustern schätzen kann, ohne jeden Abstand direkt zu messen. Durch die Anwendung von ASCAND und die Analyse von strukturierten Lichtprojektionen sowie die Auseinandersetzung mit den Prinzipien der AI-Tiefenschätzung entwickeln die Schüler ein tiefes Verständnis für die Funktionsweise dieser Technologien und deren Anwendungsbereiche.</w:t>
      </w:r>
    </w:p>
    <w:p>
      <w:pPr>
        <w:pStyle w:val="Heading1"/>
      </w:pPr>
      <w:r>
        <w:t>Backgroundcontent</w:t>
      </w:r>
    </w:p>
    <w:p>
      <w:pPr>
        <w:pStyle w:val="Heading2"/>
      </w:pPr>
      <w:r>
        <w:t>Introduction</w:t>
      </w:r>
    </w:p>
    <w:p>
      <w:r>
        <w:t>Die KI-Tiefenschätzung ist ein innovatives Verfahren, das maschinelles Lernen nutzt, um Tiefeninformationen aus Bilddaten abzuleiten. Es ist wichtig, zwischen direkten Messungen, Berechnungen und Schätzungen zu unterscheiden. ASCAND nutzt strukturierte optische Projektion und AI-gestützte Analysen zur Schätzung von Tiefen, wobei Unsicherheiten bei den geschätzten Werten berücksichtigt werden müssen.</w:t>
      </w:r>
    </w:p>
    <w:p>
      <w:pPr>
        <w:pStyle w:val="Heading2"/>
      </w:pPr>
      <w:r>
        <w:t>Structuredopticalprojection</w:t>
      </w:r>
    </w:p>
    <w:p>
      <w:r>
        <w:t>ASCAND verwendet strukturierte optische Projektion, um bekannte Lichtmuster auf Objekte zu projizieren. Diese Muster, einschließlich Gray Code, werden systematisch angewendet, um präzise räumliche Informationen zu kodieren. Die Deformation der projizierten Muster auf gekrümmten Oberflächen liefert wertvolle Daten zur Form und Tiefe der Objekte.</w:t>
      </w:r>
    </w:p>
    <w:p>
      <w:pPr>
        <w:pStyle w:val="Heading2"/>
      </w:pPr>
      <w:r>
        <w:t>Aidepthestimation</w:t>
      </w:r>
    </w:p>
    <w:p>
      <w:r>
        <w:t>Die AI-Tiefenschätzung nutzt große Datensätze mit Bildern und bekannten Tiefenwerten, um Muster zu lernen und Tiefeninformationen aus neuen Bildern abzuleiten. Dies erfolgt durch die Analyse visueller Hinweise wie Perspektive, Okklusion, Textur und vertraute Größen. Es ist entscheidend, den Unsicherheitsfaktor bei diesen Schätzungen zu erkennen.</w:t>
      </w:r>
    </w:p>
    <w:p>
      <w:pPr>
        <w:pStyle w:val="Heading1"/>
      </w:pPr>
      <w:r>
        <w:t>Sessionplans</w:t>
      </w:r>
    </w:p>
    <w:p>
      <w:r>
        <w:t>Sessionnumber: 1</w:t>
      </w:r>
    </w:p>
    <w:p>
      <w:pPr>
        <w:pStyle w:val="Heading3"/>
      </w:pPr>
      <w:r>
        <w:t>Sessiontitle</w:t>
      </w:r>
    </w:p>
    <w:p>
      <w:r>
        <w:t>Einführung in die AI-Tiefenschätzung</w:t>
      </w:r>
    </w:p>
    <w:p>
      <w:pPr>
        <w:pStyle w:val="Heading3"/>
      </w:pPr>
      <w:r>
        <w:t>Objectives</w:t>
      </w:r>
    </w:p>
    <w:p>
      <w:pPr>
        <w:pStyle w:val="ListBullet"/>
      </w:pPr>
      <w:r>
        <w:t>Verstehen, was AI-Tiefenschätzung ist und wie sie funktioniert.</w:t>
      </w:r>
    </w:p>
    <w:p>
      <w:pPr>
        <w:pStyle w:val="ListBullet"/>
      </w:pPr>
      <w:r>
        <w:t>Erklären, warum direkte Messung nicht immer möglich ist.</w:t>
      </w:r>
    </w:p>
    <w:p>
      <w:pPr>
        <w:pStyle w:val="Heading3"/>
      </w:pPr>
      <w:r>
        <w:t>Activities</w:t>
      </w:r>
    </w:p>
    <w:p>
      <w:pPr>
        <w:pStyle w:val="ListBullet"/>
      </w:pPr>
      <w:r>
        <w:t>Diskussion über die Unterschiede zwischen Messung, Berechnung und Schätzung.</w:t>
      </w:r>
    </w:p>
    <w:p>
      <w:pPr>
        <w:pStyle w:val="ListBullet"/>
      </w:pPr>
      <w:r>
        <w:t>Einführung in die grundlegenden Konzepte der AI-Tiefenschätzung.</w:t>
      </w:r>
    </w:p>
    <w:p>
      <w:pPr>
        <w:pStyle w:val="Heading3"/>
      </w:pPr>
      <w:r>
        <w:t>Materialsneeded</w:t>
      </w:r>
    </w:p>
    <w:p>
      <w:pPr>
        <w:pStyle w:val="ListBullet"/>
      </w:pPr>
      <w:r>
        <w:t>Präsentation über AI-Tiefenschätzung.</w:t>
      </w:r>
    </w:p>
    <w:p>
      <w:pPr>
        <w:pStyle w:val="ListBullet"/>
      </w:pPr>
      <w:r>
        <w:t>Beispiele von Anwendungen in der realen Welt.</w:t>
      </w:r>
    </w:p>
    <w:p>
      <w:r>
        <w:t>Sessionnumber: 2</w:t>
      </w:r>
    </w:p>
    <w:p>
      <w:pPr>
        <w:pStyle w:val="Heading3"/>
      </w:pPr>
      <w:r>
        <w:t>Sessiontitle</w:t>
      </w:r>
    </w:p>
    <w:p>
      <w:r>
        <w:t>Visuelle Hinweise zur Tiefenschätzung</w:t>
      </w:r>
    </w:p>
    <w:p>
      <w:pPr>
        <w:pStyle w:val="Heading3"/>
      </w:pPr>
      <w:r>
        <w:t>Objectives</w:t>
      </w:r>
    </w:p>
    <w:p>
      <w:pPr>
        <w:pStyle w:val="ListBullet"/>
      </w:pPr>
      <w:r>
        <w:t>Identifizieren von visuellen Hinweisen, die die Tiefenschätzung beeinflussen.</w:t>
      </w:r>
    </w:p>
    <w:p>
      <w:pPr>
        <w:pStyle w:val="ListBullet"/>
      </w:pPr>
      <w:r>
        <w:t>Untersuchen der Rolle von Perspektive, Okklusion, Textur und vertrauter Größe.</w:t>
      </w:r>
    </w:p>
    <w:p>
      <w:pPr>
        <w:pStyle w:val="Heading3"/>
      </w:pPr>
      <w:r>
        <w:t>Activities</w:t>
      </w:r>
    </w:p>
    <w:p>
      <w:pPr>
        <w:pStyle w:val="ListBullet"/>
      </w:pPr>
      <w:r>
        <w:t>Gruppenarbeit zur Analyse von Bildern und Identifikation der visuellen Hinweise.</w:t>
      </w:r>
    </w:p>
    <w:p>
      <w:pPr>
        <w:pStyle w:val="ListBullet"/>
      </w:pPr>
      <w:r>
        <w:t>Präsentation der Ergebnisse im Plenum.</w:t>
      </w:r>
    </w:p>
    <w:p>
      <w:pPr>
        <w:pStyle w:val="Heading3"/>
      </w:pPr>
      <w:r>
        <w:t>Materialsneeded</w:t>
      </w:r>
    </w:p>
    <w:p>
      <w:pPr>
        <w:pStyle w:val="ListBullet"/>
      </w:pPr>
      <w:r>
        <w:t>Bilder mit unterschiedlichen visuellen Hinweisen.</w:t>
      </w:r>
    </w:p>
    <w:p>
      <w:pPr>
        <w:pStyle w:val="ListBullet"/>
      </w:pPr>
      <w:r>
        <w:t>Flipchart für Gruppenergebnisse.</w:t>
      </w:r>
    </w:p>
    <w:p>
      <w:r>
        <w:t>Sessionnumber: 3</w:t>
      </w:r>
    </w:p>
    <w:p>
      <w:pPr>
        <w:pStyle w:val="Heading3"/>
      </w:pPr>
      <w:r>
        <w:t>Sessiontitle</w:t>
      </w:r>
    </w:p>
    <w:p>
      <w:r>
        <w:t>Tiefe Karten interpretieren</w:t>
      </w:r>
    </w:p>
    <w:p>
      <w:pPr>
        <w:pStyle w:val="Heading3"/>
      </w:pPr>
      <w:r>
        <w:t>Objectives</w:t>
      </w:r>
    </w:p>
    <w:p>
      <w:pPr>
        <w:pStyle w:val="ListBullet"/>
      </w:pPr>
      <w:r>
        <w:t>Interpretieren von relativen Tiefenkarten.</w:t>
      </w:r>
    </w:p>
    <w:p>
      <w:pPr>
        <w:pStyle w:val="ListBullet"/>
      </w:pPr>
      <w:r>
        <w:t>Vergleichen von AI-Schätzungen mit physischen Beobachtungen.</w:t>
      </w:r>
    </w:p>
    <w:p>
      <w:pPr>
        <w:pStyle w:val="Heading3"/>
      </w:pPr>
      <w:r>
        <w:t>Activities</w:t>
      </w:r>
    </w:p>
    <w:p>
      <w:pPr>
        <w:pStyle w:val="ListBullet"/>
      </w:pPr>
      <w:r>
        <w:t>Vorführung der Verwendung von ASCAND zur Erzeugung von Tiefenkarten.</w:t>
      </w:r>
    </w:p>
    <w:p>
      <w:pPr>
        <w:pStyle w:val="ListBullet"/>
      </w:pPr>
      <w:r>
        <w:t>Praktische Übung zum Vergleich von AI-Schätzungen mit realen Objekten.</w:t>
      </w:r>
    </w:p>
    <w:p>
      <w:pPr>
        <w:pStyle w:val="Heading3"/>
      </w:pPr>
      <w:r>
        <w:t>Materialsneeded</w:t>
      </w:r>
    </w:p>
    <w:p>
      <w:pPr>
        <w:pStyle w:val="ListBullet"/>
      </w:pPr>
      <w:r>
        <w:t>ASCAND-Gerät.</w:t>
      </w:r>
    </w:p>
    <w:p>
      <w:pPr>
        <w:pStyle w:val="ListBullet"/>
      </w:pPr>
      <w:r>
        <w:t>Beispiele von Tiefenkarten.</w:t>
      </w:r>
    </w:p>
    <w:p>
      <w:r>
        <w:t>Sessionnumber: 4</w:t>
      </w:r>
    </w:p>
    <w:p>
      <w:pPr>
        <w:pStyle w:val="Heading3"/>
      </w:pPr>
      <w:r>
        <w:t>Sessiontitle</w:t>
      </w:r>
    </w:p>
    <w:p>
      <w:r>
        <w:t>Fehlerquellen in der AI-Tiefenschätzung</w:t>
      </w:r>
    </w:p>
    <w:p>
      <w:pPr>
        <w:pStyle w:val="Heading3"/>
      </w:pPr>
      <w:r>
        <w:t>Objectives</w:t>
      </w:r>
    </w:p>
    <w:p>
      <w:pPr>
        <w:pStyle w:val="ListBullet"/>
      </w:pPr>
      <w:r>
        <w:t>Untersuchen von Situationen, in denen AI-Tiefenschätzungen irreführend sind.</w:t>
      </w:r>
    </w:p>
    <w:p>
      <w:pPr>
        <w:pStyle w:val="ListBullet"/>
      </w:pPr>
      <w:r>
        <w:t>Diskussion über die Validierung von AI-Schätzungen.</w:t>
      </w:r>
    </w:p>
    <w:p>
      <w:pPr>
        <w:pStyle w:val="Heading3"/>
      </w:pPr>
      <w:r>
        <w:t>Activities</w:t>
      </w:r>
    </w:p>
    <w:p>
      <w:pPr>
        <w:pStyle w:val="ListBullet"/>
      </w:pPr>
      <w:r>
        <w:t>Fallstudienanalyse von Fehlern in AI-Tiefenschätzungen.</w:t>
      </w:r>
    </w:p>
    <w:p>
      <w:pPr>
        <w:pStyle w:val="ListBullet"/>
      </w:pPr>
      <w:r>
        <w:t>Gruppendiskussion über Validierungsstrategien.</w:t>
      </w:r>
    </w:p>
    <w:p>
      <w:pPr>
        <w:pStyle w:val="Heading3"/>
      </w:pPr>
      <w:r>
        <w:t>Materialsneeded</w:t>
      </w:r>
    </w:p>
    <w:p>
      <w:pPr>
        <w:pStyle w:val="ListBullet"/>
      </w:pPr>
      <w:r>
        <w:t>Fallstudienmaterialien.</w:t>
      </w:r>
    </w:p>
    <w:p>
      <w:pPr>
        <w:pStyle w:val="ListBullet"/>
      </w:pPr>
      <w:r>
        <w:t>Diskussionsleitfaden.</w:t>
      </w:r>
    </w:p>
    <w:p>
      <w:r>
        <w:t>Sessionnumber: 5</w:t>
      </w:r>
    </w:p>
    <w:p>
      <w:pPr>
        <w:pStyle w:val="Heading3"/>
      </w:pPr>
      <w:r>
        <w:t>Sessiontitle</w:t>
      </w:r>
    </w:p>
    <w:p>
      <w:r>
        <w:t>Zusammenfassung und Anwendung</w:t>
      </w:r>
    </w:p>
    <w:p>
      <w:pPr>
        <w:pStyle w:val="Heading3"/>
      </w:pPr>
      <w:r>
        <w:t>Objectives</w:t>
      </w:r>
    </w:p>
    <w:p>
      <w:pPr>
        <w:pStyle w:val="ListBullet"/>
      </w:pPr>
      <w:r>
        <w:t>Zusammenfassen der wichtigsten Konzepte der AI-Tiefenschätzung.</w:t>
      </w:r>
    </w:p>
    <w:p>
      <w:pPr>
        <w:pStyle w:val="ListBullet"/>
      </w:pPr>
      <w:r>
        <w:t>Anwendung des Gelernten in einem praktischen Projekt.</w:t>
      </w:r>
    </w:p>
    <w:p>
      <w:pPr>
        <w:pStyle w:val="Heading3"/>
      </w:pPr>
      <w:r>
        <w:t>Activities</w:t>
      </w:r>
    </w:p>
    <w:p>
      <w:pPr>
        <w:pStyle w:val="ListBullet"/>
      </w:pPr>
      <w:r>
        <w:t>Präsentation von Projekten, in denen Schüler das Gelernte anwenden.</w:t>
      </w:r>
    </w:p>
    <w:p>
      <w:pPr>
        <w:pStyle w:val="ListBullet"/>
      </w:pPr>
      <w:r>
        <w:t>Reflexion über den gesamten Lernprozess.</w:t>
      </w:r>
    </w:p>
    <w:p>
      <w:pPr>
        <w:pStyle w:val="Heading3"/>
      </w:pPr>
      <w:r>
        <w:t>Materialsneeded</w:t>
      </w:r>
    </w:p>
    <w:p>
      <w:pPr>
        <w:pStyle w:val="ListBullet"/>
      </w:pPr>
      <w:r>
        <w:t>Projektmaterialien.</w:t>
      </w:r>
    </w:p>
    <w:p>
      <w:pPr>
        <w:pStyle w:val="ListBullet"/>
      </w:pPr>
      <w:r>
        <w:t>Feedbackbögen für die Reflexion.</w:t>
      </w:r>
    </w:p>
    <w:p>
      <w:pPr>
        <w:pStyle w:val="Heading1"/>
      </w:pPr>
      <w:r>
        <w:t>Commonmisconceptions</w:t>
      </w:r>
    </w:p>
    <w:p>
      <w:pPr>
        <w:pStyle w:val="Heading3"/>
      </w:pPr>
      <w:r>
        <w:t>Misconception</w:t>
      </w:r>
    </w:p>
    <w:p>
      <w:r>
        <w:t>AI-Tiefenschätzung misst die Tiefe direkt.</w:t>
      </w:r>
    </w:p>
    <w:p>
      <w:pPr>
        <w:pStyle w:val="Heading3"/>
      </w:pPr>
      <w:r>
        <w:t>Correction</w:t>
      </w:r>
    </w:p>
    <w:p>
      <w:r>
        <w:t>AI-Tiefenschätzung ist eine Schätzung und keine direkte Messung.</w:t>
      </w:r>
    </w:p>
    <w:p>
      <w:pPr>
        <w:pStyle w:val="Heading3"/>
      </w:pPr>
      <w:r>
        <w:t>Misconception</w:t>
      </w:r>
    </w:p>
    <w:p>
      <w:r>
        <w:t>Alle visuellen Hinweise sind gleichwertig in der Einflussnahme auf die Schätzung.</w:t>
      </w:r>
    </w:p>
    <w:p>
      <w:pPr>
        <w:pStyle w:val="Heading3"/>
      </w:pPr>
      <w:r>
        <w:t>Correction</w:t>
      </w:r>
    </w:p>
    <w:p>
      <w:r>
        <w:t>Einige visuelle Hinweise sind bedeutender als andere und beeinflussen die Schätzung unterschiedlich.</w:t>
      </w:r>
    </w:p>
    <w:p>
      <w:pPr>
        <w:pStyle w:val="Heading1"/>
      </w:pPr>
      <w:r>
        <w:t>Differentiationstrategies</w:t>
      </w:r>
    </w:p>
    <w:p>
      <w:pPr>
        <w:pStyle w:val="Heading2"/>
      </w:pPr>
      <w:r>
        <w:t>Supports</w:t>
      </w:r>
    </w:p>
    <w:p>
      <w:pPr>
        <w:pStyle w:val="ListBullet"/>
      </w:pPr>
      <w:r>
        <w:t>Bereitstellung zusätzlicher Ressourcen für Schüler mit Schwierigkeiten.</w:t>
      </w:r>
    </w:p>
    <w:p>
      <w:pPr>
        <w:pStyle w:val="ListBullet"/>
      </w:pPr>
      <w:r>
        <w:t>Verwendung visueller Hilfsmittel zur Unterstützung des Verständnisses.</w:t>
      </w:r>
    </w:p>
    <w:p>
      <w:pPr>
        <w:pStyle w:val="Heading2"/>
      </w:pPr>
      <w:r>
        <w:t>Extensions</w:t>
      </w:r>
    </w:p>
    <w:p>
      <w:pPr>
        <w:pStyle w:val="ListBullet"/>
      </w:pPr>
      <w:r>
        <w:t>Ermutigung fortgeschrittener Schüler, eigene Experimente mit ASCAND durchzuführen.</w:t>
      </w:r>
    </w:p>
    <w:p>
      <w:pPr>
        <w:pStyle w:val="ListBullet"/>
      </w:pPr>
      <w:r>
        <w:t>Einführung in komplexere Konzepte der KI und ihrer Anwendungen.</w:t>
      </w:r>
    </w:p>
    <w:p>
      <w:pPr>
        <w:pStyle w:val="Heading1"/>
      </w:pPr>
      <w:r>
        <w:t>Formativeassessmentsuggestions</w:t>
      </w:r>
    </w:p>
    <w:p>
      <w:pPr>
        <w:pStyle w:val="ListBullet"/>
      </w:pPr>
      <w:r>
        <w:t>Kurze Quizfragen am Ende jeder Sitzung zur Überprüfung des Verständnisses.</w:t>
      </w:r>
    </w:p>
    <w:p>
      <w:pPr>
        <w:pStyle w:val="ListBullet"/>
      </w:pPr>
      <w:r>
        <w:t>Peer-Feedback bei Gruppenarbeiten zur Förderung der Zusammenarbeit.</w:t>
      </w:r>
    </w:p>
    <w:p>
      <w:pPr>
        <w:pStyle w:val="ListBullet"/>
      </w:pPr>
      <w:r>
        <w:t>Reflexionstagebücher, in denen Schüler ihre Lernerfahrungen dokumentieren.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