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Sensor Fusion</w:t>
      </w:r>
    </w:p>
    <w:p>
      <w:r>
        <w:rPr>
          <w:color w:val="606060"/>
          <w:sz w:val="22"/>
        </w:rPr>
        <w:t>module_09 | Grade 8-12 | 5 days</w:t>
      </w:r>
    </w:p>
    <w:p/>
    <w:p>
      <w:pPr>
        <w:pStyle w:val="Heading1"/>
      </w:pPr>
      <w:r>
        <w:t>Module Overview</w:t>
      </w:r>
    </w:p>
    <w:p>
      <w:r>
        <w:t>In diesem Modul zur Sensorfusion lernen die Schülerinnen und Schüler, wie die Kombination verschiedener Informationsquellen zu besseren 3D-Modellen führt als die ausschließliche Verwendung einer Methode. Durch das Scannen realer Objekte und die Analyse der gewonnenen Daten erfahren die Lernenden, wie ASCAND strukturierte optische Projektion, AI-basierte Tiefenschätzung und Sensorfusion nutzt, um präzise 3D-Darstellungen zu erzeugen. Die Schülerinnen und Schüler entwickeln Fähigkeiten zur kritischen Bewertung der Stärken und Einschränkungen unterschiedlicher Methoden und lernen, wie sie diese Strategien in ingenieurtechnischen Entscheidungen anwenden können.</w:t>
      </w:r>
    </w:p>
    <w:p>
      <w:pPr>
        <w:pStyle w:val="Heading1"/>
      </w:pPr>
      <w:r>
        <w:t>Background Content</w:t>
      </w:r>
    </w:p>
    <w:p>
      <w:r>
        <w:t>Sensorfusion bezeichnet die Kombination komplementärer Informationen aus verschiedenen Quellen, um genauere und zuverlässigere Daten zu erhalten. ASCAND nutzt strukturierte optische Projektion, insbesondere Gray-Code-Muster, um Positionsdaten zu kodieren. Gray Code ist ein binäres Zahlensystem, bei dem aufeinanderfolgende Werte sich nur in einem Bit unterscheiden. Die AI-Tiefenschätzung hingegen ist eine Schätzung, die auf Bilddaten basiert und aus großen Datensätzen mit bekannten Tiefenwerten trainiert wurde. Die Kombination dieser Methoden ermöglicht es, die Stärken der verschiedenen Techniken zu nutzen und die Einschränkungen einzelner Ansätze zu überwinden. Die Schülerinnen und Schüler müssen lernen, wie sie Messungen, Berechnungen und Schätzungen klar voneinander unterscheiden, um Missverständnisse zu vermeiden und die Unsicherheiten der verschiedenen Methoden zu erkennen.</w:t>
      </w:r>
    </w:p>
    <w:p>
      <w:pPr>
        <w:pStyle w:val="Heading1"/>
      </w:pPr>
      <w:r>
        <w:t>Session Plans</w:t>
      </w:r>
    </w:p>
    <w:p>
      <w:pPr>
        <w:pStyle w:val="Heading2"/>
      </w:pPr>
      <w:r>
        <w:t>Einführung in die Sensorfusion</w:t>
      </w:r>
    </w:p>
    <w:p>
      <w:r>
        <w:t>Session Number: 1</w:t>
      </w:r>
    </w:p>
    <w:p>
      <w:pPr>
        <w:pStyle w:val="Heading3"/>
      </w:pPr>
      <w:r>
        <w:t>Objectives</w:t>
      </w:r>
    </w:p>
    <w:p>
      <w:pPr>
        <w:pStyle w:val="ListBullet"/>
      </w:pPr>
      <w:r>
        <w:t>Erkläre das Konzept der Sensorfusion und deren Bedeutung für die Erstellung von 3D-Modellen.</w:t>
      </w:r>
    </w:p>
    <w:p>
      <w:pPr>
        <w:pStyle w:val="ListBullet"/>
      </w:pPr>
      <w:r>
        <w:t>Identifiziere verschiedene Quellen von Beweisen, die in der Sensorfusion verwendet werden können.</w:t>
      </w:r>
    </w:p>
    <w:p>
      <w:pPr>
        <w:pStyle w:val="Heading3"/>
      </w:pPr>
      <w:r>
        <w:t>Activities</w:t>
      </w:r>
    </w:p>
    <w:p>
      <w:pPr>
        <w:pStyle w:val="ListBullet"/>
      </w:pPr>
      <w:r>
        <w:t>Diskussion über Sensorfusion und deren Anwendung in der Technik.</w:t>
      </w:r>
    </w:p>
    <w:p>
      <w:pPr>
        <w:pStyle w:val="ListBullet"/>
      </w:pPr>
      <w:r>
        <w:t>Vorstellung des ASCAND-Systems und seiner Komponenten.</w:t>
      </w:r>
    </w:p>
    <w:p>
      <w:pPr>
        <w:pStyle w:val="ListBullet"/>
      </w:pPr>
      <w:r>
        <w:t>Gruppenarbeit: Identifikation von Beweisen aus verschiedenen Quellen.</w:t>
      </w:r>
    </w:p>
    <w:p>
      <w:pPr>
        <w:pStyle w:val="Heading3"/>
      </w:pPr>
      <w:r>
        <w:t>Materials</w:t>
      </w:r>
    </w:p>
    <w:p>
      <w:pPr>
        <w:pStyle w:val="ListBullet"/>
      </w:pPr>
      <w:r>
        <w:t>Präsentation über Sensorfusion</w:t>
      </w:r>
    </w:p>
    <w:p>
      <w:pPr>
        <w:pStyle w:val="ListBullet"/>
      </w:pPr>
      <w:r>
        <w:t>ASCAND-Demonstration</w:t>
      </w:r>
    </w:p>
    <w:p>
      <w:pPr>
        <w:pStyle w:val="ListBullet"/>
      </w:pPr>
      <w:r>
        <w:t>Arbeitsblätter zur Gruppenarbeit</w:t>
      </w:r>
    </w:p>
    <w:p>
      <w:pPr>
        <w:pStyle w:val="Heading2"/>
      </w:pPr>
      <w:r>
        <w:t>Gray Code und strukturierte optische Projektion</w:t>
      </w:r>
    </w:p>
    <w:p>
      <w:r>
        <w:t>Session Number: 2</w:t>
      </w:r>
    </w:p>
    <w:p>
      <w:pPr>
        <w:pStyle w:val="Heading3"/>
      </w:pPr>
      <w:r>
        <w:t>Objectives</w:t>
      </w:r>
    </w:p>
    <w:p>
      <w:pPr>
        <w:pStyle w:val="ListBullet"/>
      </w:pPr>
      <w:r>
        <w:t>Vergleiche die Stärken und Einschränkungen von Gray Code mit anderen Methoden.</w:t>
      </w:r>
    </w:p>
    <w:p>
      <w:pPr>
        <w:pStyle w:val="ListBullet"/>
      </w:pPr>
      <w:r>
        <w:t>Verstehe, wie strukturierte Lichtprojektion funktioniert.</w:t>
      </w:r>
    </w:p>
    <w:p>
      <w:pPr>
        <w:pStyle w:val="Heading3"/>
      </w:pPr>
      <w:r>
        <w:t>Activities</w:t>
      </w:r>
    </w:p>
    <w:p>
      <w:pPr>
        <w:pStyle w:val="ListBullet"/>
      </w:pPr>
      <w:r>
        <w:t>Erklärung der Gray-Code-Technologie und ihrer Anwendung in ASCAND.</w:t>
      </w:r>
    </w:p>
    <w:p>
      <w:pPr>
        <w:pStyle w:val="ListBullet"/>
      </w:pPr>
      <w:r>
        <w:t>Praktische Übung: Projektion von Gray-Code-Mustern auf Objekte.</w:t>
      </w:r>
    </w:p>
    <w:p>
      <w:pPr>
        <w:pStyle w:val="ListBullet"/>
      </w:pPr>
      <w:r>
        <w:t>Diskussion über die Ergebnisse der Übung.</w:t>
      </w:r>
    </w:p>
    <w:p>
      <w:pPr>
        <w:pStyle w:val="Heading3"/>
      </w:pPr>
      <w:r>
        <w:t>Materials</w:t>
      </w:r>
    </w:p>
    <w:p>
      <w:pPr>
        <w:pStyle w:val="ListBullet"/>
      </w:pPr>
      <w:r>
        <w:t>Projektionseinheit</w:t>
      </w:r>
    </w:p>
    <w:p>
      <w:pPr>
        <w:pStyle w:val="ListBullet"/>
      </w:pPr>
      <w:r>
        <w:t>Beispiele von Gray-Code-Mustern</w:t>
      </w:r>
    </w:p>
    <w:p>
      <w:pPr>
        <w:pStyle w:val="ListBullet"/>
      </w:pPr>
      <w:r>
        <w:t>Arbeitsblätter zur Reflexion</w:t>
      </w:r>
    </w:p>
    <w:p>
      <w:pPr>
        <w:pStyle w:val="Heading2"/>
      </w:pPr>
      <w:r>
        <w:t>AI-Tiefenschätzung</w:t>
      </w:r>
    </w:p>
    <w:p>
      <w:r>
        <w:t>Session Number: 3</w:t>
      </w:r>
    </w:p>
    <w:p>
      <w:pPr>
        <w:pStyle w:val="Heading3"/>
      </w:pPr>
      <w:r>
        <w:t>Objectives</w:t>
      </w:r>
    </w:p>
    <w:p>
      <w:pPr>
        <w:pStyle w:val="ListBullet"/>
      </w:pPr>
      <w:r>
        <w:t>Erkläre den Prozess der AI-Tiefenschätzung und deren Rolle in der Sensorfusion.</w:t>
      </w:r>
    </w:p>
    <w:p>
      <w:pPr>
        <w:pStyle w:val="ListBullet"/>
      </w:pPr>
      <w:r>
        <w:t>Unterscheide zwischen direkter Messung und Schätzung.</w:t>
      </w:r>
    </w:p>
    <w:p>
      <w:pPr>
        <w:pStyle w:val="Heading3"/>
      </w:pPr>
      <w:r>
        <w:t>Activities</w:t>
      </w:r>
    </w:p>
    <w:p>
      <w:pPr>
        <w:pStyle w:val="ListBullet"/>
      </w:pPr>
      <w:r>
        <w:t>Vortrag über AI-Tiefenschätzung und ihre Funktionsweise.</w:t>
      </w:r>
    </w:p>
    <w:p>
      <w:pPr>
        <w:pStyle w:val="ListBullet"/>
      </w:pPr>
      <w:r>
        <w:t>Beispiele von Bilddaten analysieren und die geschätzten Tiefenwerte diskutieren.</w:t>
      </w:r>
    </w:p>
    <w:p>
      <w:pPr>
        <w:pStyle w:val="ListBullet"/>
      </w:pPr>
      <w:r>
        <w:t>Reflexion über Unsicherheiten in den Schätzungen.</w:t>
      </w:r>
    </w:p>
    <w:p>
      <w:pPr>
        <w:pStyle w:val="Heading3"/>
      </w:pPr>
      <w:r>
        <w:t>Materials</w:t>
      </w:r>
    </w:p>
    <w:p>
      <w:pPr>
        <w:pStyle w:val="ListBullet"/>
      </w:pPr>
      <w:r>
        <w:t>Präsentation über AI-Tiefenschätzung</w:t>
      </w:r>
    </w:p>
    <w:p>
      <w:pPr>
        <w:pStyle w:val="ListBullet"/>
      </w:pPr>
      <w:r>
        <w:t>Beispiele von Bilddaten</w:t>
      </w:r>
    </w:p>
    <w:p>
      <w:pPr>
        <w:pStyle w:val="ListBullet"/>
      </w:pPr>
      <w:r>
        <w:t>Diskussionsfragen</w:t>
      </w:r>
    </w:p>
    <w:p>
      <w:pPr>
        <w:pStyle w:val="Heading2"/>
      </w:pPr>
      <w:r>
        <w:t>Evidenzgewichtung und strategische Entscheidungen</w:t>
      </w:r>
    </w:p>
    <w:p>
      <w:r>
        <w:t>Session Number: 4</w:t>
      </w:r>
    </w:p>
    <w:p>
      <w:pPr>
        <w:pStyle w:val="Heading3"/>
      </w:pPr>
      <w:r>
        <w:t>Objectives</w:t>
      </w:r>
    </w:p>
    <w:p>
      <w:pPr>
        <w:pStyle w:val="ListBullet"/>
      </w:pPr>
      <w:r>
        <w:t>Entwickle eine regelbasierte Strategie zur Gewichtung von Beweisen.</w:t>
      </w:r>
    </w:p>
    <w:p>
      <w:pPr>
        <w:pStyle w:val="ListBullet"/>
      </w:pPr>
      <w:r>
        <w:t>Verteidige eine ingenieurtechnische Entscheidung zu den zu verwendenden Evidenzquellen.</w:t>
      </w:r>
    </w:p>
    <w:p>
      <w:pPr>
        <w:pStyle w:val="Heading3"/>
      </w:pPr>
      <w:r>
        <w:t>Activities</w:t>
      </w:r>
    </w:p>
    <w:p>
      <w:pPr>
        <w:pStyle w:val="ListBullet"/>
      </w:pPr>
      <w:r>
        <w:t>Gruppenarbeit zur Entwicklung von Strategien zur Gewichtung von Beweisen.</w:t>
      </w:r>
    </w:p>
    <w:p>
      <w:pPr>
        <w:pStyle w:val="ListBullet"/>
      </w:pPr>
      <w:r>
        <w:t>Präsentation der Gruppenstrategien und Diskussion.</w:t>
      </w:r>
    </w:p>
    <w:p>
      <w:pPr>
        <w:pStyle w:val="ListBullet"/>
      </w:pPr>
      <w:r>
        <w:t>Rollenspiel: Verteidigung einer Entscheidung über die Wahl der Evidenzquellen.</w:t>
      </w:r>
    </w:p>
    <w:p>
      <w:pPr>
        <w:pStyle w:val="Heading3"/>
      </w:pPr>
      <w:r>
        <w:t>Materials</w:t>
      </w:r>
    </w:p>
    <w:p>
      <w:pPr>
        <w:pStyle w:val="ListBullet"/>
      </w:pPr>
      <w:r>
        <w:t>Arbeitsblätter zur strategischen Entscheidungsfindung</w:t>
      </w:r>
    </w:p>
    <w:p>
      <w:pPr>
        <w:pStyle w:val="ListBullet"/>
      </w:pPr>
      <w:r>
        <w:t>Präsentationsmaterialien</w:t>
      </w:r>
    </w:p>
    <w:p>
      <w:pPr>
        <w:pStyle w:val="Heading2"/>
      </w:pPr>
      <w:r>
        <w:t>Zusammenfassung und Reflexion</w:t>
      </w:r>
    </w:p>
    <w:p>
      <w:r>
        <w:t>Session Number: 5</w:t>
      </w:r>
    </w:p>
    <w:p>
      <w:pPr>
        <w:pStyle w:val="Heading3"/>
      </w:pPr>
      <w:r>
        <w:t>Objectives</w:t>
      </w:r>
    </w:p>
    <w:p>
      <w:pPr>
        <w:pStyle w:val="ListBullet"/>
      </w:pPr>
      <w:r>
        <w:t>Fasse die wichtigsten Konzepte der Sensorfusion zusammen.</w:t>
      </w:r>
    </w:p>
    <w:p>
      <w:pPr>
        <w:pStyle w:val="ListBullet"/>
      </w:pPr>
      <w:r>
        <w:t>Diskutiere, wie die erworbenen Fähigkeiten in realen Anwendungen eingesetzt werden können.</w:t>
      </w:r>
    </w:p>
    <w:p>
      <w:pPr>
        <w:pStyle w:val="Heading3"/>
      </w:pPr>
      <w:r>
        <w:t>Activities</w:t>
      </w:r>
    </w:p>
    <w:p>
      <w:pPr>
        <w:pStyle w:val="ListBullet"/>
      </w:pPr>
      <w:r>
        <w:t>Reflexion über das gesamte Modul und die erlernten Konzepte.</w:t>
      </w:r>
    </w:p>
    <w:p>
      <w:pPr>
        <w:pStyle w:val="ListBullet"/>
      </w:pPr>
      <w:r>
        <w:t>Diskussion über mögliche Anwendungen der Sensorfusion in der Industrie.</w:t>
      </w:r>
    </w:p>
    <w:p>
      <w:pPr>
        <w:pStyle w:val="ListBullet"/>
      </w:pPr>
      <w:r>
        <w:t>Feedback-Runde zur Verbesserung des Moduls.</w:t>
      </w:r>
    </w:p>
    <w:p>
      <w:pPr>
        <w:pStyle w:val="Heading3"/>
      </w:pPr>
      <w:r>
        <w:t>Materials</w:t>
      </w:r>
    </w:p>
    <w:p>
      <w:pPr>
        <w:pStyle w:val="ListBullet"/>
      </w:pPr>
      <w:r>
        <w:t>Reflexionsfragen</w:t>
      </w:r>
    </w:p>
    <w:p>
      <w:pPr>
        <w:pStyle w:val="ListBullet"/>
      </w:pPr>
      <w:r>
        <w:t>Feedbackbögen</w:t>
      </w:r>
    </w:p>
    <w:p>
      <w:pPr>
        <w:pStyle w:val="Heading1"/>
      </w:pPr>
      <w:r>
        <w:t>Common Misconceptions</w:t>
      </w:r>
    </w:p>
    <w:p>
      <w:pPr>
        <w:pStyle w:val="Heading3"/>
      </w:pPr>
      <w:r>
        <w:t>Misconception</w:t>
      </w:r>
    </w:p>
    <w:p>
      <w:r>
        <w:t>Gray Code misst die Tiefe direkt.</w:t>
      </w:r>
    </w:p>
    <w:p>
      <w:pPr>
        <w:pStyle w:val="Heading3"/>
      </w:pPr>
      <w:r>
        <w:t>Correction</w:t>
      </w:r>
    </w:p>
    <w:p>
      <w:r>
        <w:t>Gray Code kodiert nur die Position; die Tiefe muss geometrisch berechnet werden.</w:t>
      </w:r>
    </w:p>
    <w:p>
      <w:pPr>
        <w:pStyle w:val="Heading3"/>
      </w:pPr>
      <w:r>
        <w:t>Misconception</w:t>
      </w:r>
    </w:p>
    <w:p>
      <w:r>
        <w:t>AI-Tiefenschätzung liefert genaue Werte.</w:t>
      </w:r>
    </w:p>
    <w:p>
      <w:pPr>
        <w:pStyle w:val="Heading3"/>
      </w:pPr>
      <w:r>
        <w:t>Correction</w:t>
      </w:r>
    </w:p>
    <w:p>
      <w:r>
        <w:t>AI-Tiefenschätzung ist eine Schätzung mit Unsicherheiten und sollte nicht mit direkten Messungen gleichgesetzt werden.</w:t>
      </w:r>
    </w:p>
    <w:p>
      <w:pPr>
        <w:pStyle w:val="Heading3"/>
      </w:pPr>
      <w:r>
        <w:t>Misconception</w:t>
      </w:r>
    </w:p>
    <w:p>
      <w:r>
        <w:t>Punktwolken sind dasselbe wie Meshes.</w:t>
      </w:r>
    </w:p>
    <w:p>
      <w:pPr>
        <w:pStyle w:val="Heading3"/>
      </w:pPr>
      <w:r>
        <w:t>Correction</w:t>
      </w:r>
    </w:p>
    <w:p>
      <w:r>
        <w:t>Punktwolken sind eine Datenrepräsentation ohne Oberflächenverbindungen, während Meshes aus verbundenen Polygonen bestehen.</w:t>
      </w:r>
    </w:p>
    <w:p>
      <w:pPr>
        <w:pStyle w:val="Heading1"/>
      </w:pPr>
      <w:r>
        <w:t>Differentiation Strategies</w:t>
      </w:r>
    </w:p>
    <w:p>
      <w:pPr>
        <w:pStyle w:val="Heading2"/>
      </w:pPr>
      <w:r>
        <w:t>Supports</w:t>
      </w:r>
    </w:p>
    <w:p>
      <w:pPr>
        <w:pStyle w:val="ListBullet"/>
      </w:pPr>
      <w:r>
        <w:t>Biete zusätzliche visuelle Hilfsmittel und Erklärungen für Schüler, die Schwierigkeiten haben.</w:t>
      </w:r>
    </w:p>
    <w:p>
      <w:pPr>
        <w:pStyle w:val="ListBullet"/>
      </w:pPr>
      <w:r>
        <w:t>Erlaube den Einsatz von Technologie, um Konzepte zu veranschaulichen.</w:t>
      </w:r>
    </w:p>
    <w:p>
      <w:pPr>
        <w:pStyle w:val="Heading2"/>
      </w:pPr>
      <w:r>
        <w:t>Extensions</w:t>
      </w:r>
    </w:p>
    <w:p>
      <w:pPr>
        <w:pStyle w:val="ListBullet"/>
      </w:pPr>
      <w:r>
        <w:t>Ermutige fortgeschrittene Schüler, komplexe Objekte zu scannen und eigene Strategien zur Sensorfusion zu entwickeln.</w:t>
      </w:r>
    </w:p>
    <w:p>
      <w:pPr>
        <w:pStyle w:val="ListBullet"/>
      </w:pPr>
      <w:r>
        <w:t>Biete zusätzliche Ressourcen für Schüler, die mehr über AI und deren Anwendungen lernen möchten.</w:t>
      </w:r>
    </w:p>
    <w:p>
      <w:pPr>
        <w:pStyle w:val="Heading1"/>
      </w:pPr>
      <w:r>
        <w:t>Formative Assessment Suggestions</w:t>
      </w:r>
    </w:p>
    <w:p>
      <w:pPr>
        <w:pStyle w:val="ListBullet"/>
      </w:pPr>
      <w:r>
        <w:t>Beobachtungen während der Gruppenarbeiten und praktischen Übungen zur Bewertung des Verständnisses.</w:t>
      </w:r>
    </w:p>
    <w:p>
      <w:pPr>
        <w:pStyle w:val="ListBullet"/>
      </w:pPr>
      <w:r>
        <w:t>Kurze Quizze nach jeder Sitzung, um den Wissensstand zu überprüfen.</w:t>
      </w:r>
    </w:p>
    <w:p>
      <w:pPr>
        <w:pStyle w:val="ListBullet"/>
      </w:pPr>
      <w:r>
        <w:t>Reflexionstagebücher, in denen Schüler ihre Gedanken und Lernfortschritte festhalten.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