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Images into Information</w:t>
      </w:r>
    </w:p>
    <w:p>
      <w:r>
        <w:rPr>
          <w:color w:val="606060"/>
          <w:sz w:val="22"/>
        </w:rPr>
        <w:t>module_11 | Grade 8-12 | 4 days</w:t>
      </w:r>
    </w:p>
    <w:p/>
    <w:p>
      <w:pPr>
        <w:pStyle w:val="Heading1"/>
      </w:pPr>
      <w:r>
        <w:t>Id</w:t>
      </w:r>
    </w:p>
    <w:p>
      <w:r>
        <w:t>module_11</w:t>
      </w:r>
    </w:p>
    <w:p>
      <w:pPr>
        <w:pStyle w:val="Heading1"/>
      </w:pPr>
      <w:r>
        <w:t>Unit</w:t>
      </w:r>
    </w:p>
    <w:p>
      <w:r>
        <w:t>Computer Vision</w:t>
      </w:r>
    </w:p>
    <w:p>
      <w:pPr>
        <w:pStyle w:val="Heading1"/>
      </w:pPr>
      <w:r>
        <w:t>Driving Question</w:t>
      </w:r>
    </w:p>
    <w:p>
      <w:r>
        <w:t>How do computer-vision algorithms transform pixels into useful features and decisions?</w:t>
      </w:r>
    </w:p>
    <w:p>
      <w:pPr>
        <w:pStyle w:val="Heading1"/>
      </w:pPr>
      <w:r>
        <w:t>Grade Band</w:t>
      </w:r>
    </w:p>
    <w:p>
      <w:r>
        <w:t>8-12</w:t>
      </w:r>
    </w:p>
    <w:p>
      <w:pPr>
        <w:pStyle w:val="Heading1"/>
      </w:pPr>
      <w:r>
        <w:t>Duration</w:t>
      </w:r>
    </w:p>
    <w:p>
      <w:r>
        <w:t>4 days</w:t>
      </w:r>
    </w:p>
    <w:p>
      <w:pPr>
        <w:pStyle w:val="Heading1"/>
      </w:pPr>
      <w:r>
        <w:t>Conceptual Workflow</w:t>
      </w:r>
    </w:p>
    <w:p>
      <w:pPr>
        <w:pStyle w:val="ListBullet"/>
      </w:pPr>
      <w:r>
        <w:t>Pixel values</w:t>
      </w:r>
    </w:p>
    <w:p>
      <w:pPr>
        <w:pStyle w:val="ListBullet"/>
      </w:pPr>
      <w:r>
        <w:t>Local changes and gradients</w:t>
      </w:r>
    </w:p>
    <w:p>
      <w:pPr>
        <w:pStyle w:val="ListBullet"/>
      </w:pPr>
      <w:r>
        <w:t>Edges and corners</w:t>
      </w:r>
    </w:p>
    <w:p>
      <w:pPr>
        <w:pStyle w:val="ListBullet"/>
      </w:pPr>
      <w:r>
        <w:t>Regions and features</w:t>
      </w:r>
    </w:p>
    <w:p>
      <w:pPr>
        <w:pStyle w:val="ListBullet"/>
      </w:pPr>
      <w:r>
        <w:t>Higher-level interpretation</w:t>
      </w:r>
    </w:p>
    <w:p>
      <w:pPr>
        <w:pStyle w:val="Heading1"/>
      </w:pPr>
      <w:r>
        <w:t>Learning Objectives</w:t>
      </w:r>
    </w:p>
    <w:p>
      <w:pPr>
        <w:pStyle w:val="Heading2"/>
      </w:pPr>
      <w:r>
        <w:t>lo_11_01</w:t>
      </w:r>
    </w:p>
    <w:p>
      <w:pPr>
        <w:pStyle w:val="Heading3"/>
      </w:pPr>
      <w:r>
        <w:t>Description</w:t>
      </w:r>
    </w:p>
    <w:p>
      <w:r>
        <w:t>Explain how local changes in pixel values can indicate edges and other features.</w:t>
      </w:r>
    </w:p>
    <w:p>
      <w:pPr>
        <w:pStyle w:val="Heading3"/>
      </w:pPr>
      <w:r>
        <w:t>Cognitive Level</w:t>
      </w:r>
    </w:p>
    <w:p>
      <w:r>
        <w:t>understand</w:t>
      </w:r>
    </w:p>
    <w:p>
      <w:pPr>
        <w:pStyle w:val="Heading2"/>
      </w:pPr>
      <w:r>
        <w:t>lo_11_02</w:t>
      </w:r>
    </w:p>
    <w:p>
      <w:pPr>
        <w:pStyle w:val="Heading3"/>
      </w:pPr>
      <w:r>
        <w:t>Description</w:t>
      </w:r>
    </w:p>
    <w:p>
      <w:r>
        <w:t>Apply a simple threshold or edge rule to a small pixel grid.</w:t>
      </w:r>
    </w:p>
    <w:p>
      <w:pPr>
        <w:pStyle w:val="Heading3"/>
      </w:pPr>
      <w:r>
        <w:t>Cognitive Level</w:t>
      </w:r>
    </w:p>
    <w:p>
      <w:r>
        <w:t>apply</w:t>
      </w:r>
    </w:p>
    <w:p>
      <w:pPr>
        <w:pStyle w:val="Heading2"/>
      </w:pPr>
      <w:r>
        <w:t>lo_11_03</w:t>
      </w:r>
    </w:p>
    <w:p>
      <w:pPr>
        <w:pStyle w:val="Heading3"/>
      </w:pPr>
      <w:r>
        <w:t>Description</w:t>
      </w:r>
    </w:p>
    <w:p>
      <w:r>
        <w:t>Compare low-level features with higher-level object interpretations.</w:t>
      </w:r>
    </w:p>
    <w:p>
      <w:pPr>
        <w:pStyle w:val="Heading3"/>
      </w:pPr>
      <w:r>
        <w:t>Cognitive Level</w:t>
      </w:r>
    </w:p>
    <w:p>
      <w:r>
        <w:t>analyze</w:t>
      </w:r>
    </w:p>
    <w:p>
      <w:pPr>
        <w:pStyle w:val="Heading2"/>
      </w:pPr>
      <w:r>
        <w:t>lo_11_04</w:t>
      </w:r>
    </w:p>
    <w:p>
      <w:pPr>
        <w:pStyle w:val="Heading3"/>
      </w:pPr>
      <w:r>
        <w:t>Description</w:t>
      </w:r>
    </w:p>
    <w:p>
      <w:r>
        <w:t>Investigate how noise, blur, and lighting alter extracted features.</w:t>
      </w:r>
    </w:p>
    <w:p>
      <w:pPr>
        <w:pStyle w:val="Heading3"/>
      </w:pPr>
      <w:r>
        <w:t>Cognitive Level</w:t>
      </w:r>
    </w:p>
    <w:p>
      <w:r>
        <w:t>analyze</w:t>
      </w:r>
    </w:p>
    <w:p>
      <w:pPr>
        <w:pStyle w:val="Heading2"/>
      </w:pPr>
      <w:r>
        <w:t>lo_11_05</w:t>
      </w:r>
    </w:p>
    <w:p>
      <w:pPr>
        <w:pStyle w:val="Heading3"/>
      </w:pPr>
      <w:r>
        <w:t>Description</w:t>
      </w:r>
    </w:p>
    <w:p>
      <w:r>
        <w:t>Design a simple sequence of image-processing steps for a stated task.</w:t>
      </w:r>
    </w:p>
    <w:p>
      <w:pPr>
        <w:pStyle w:val="Heading3"/>
      </w:pPr>
      <w:r>
        <w:t>Cognitive Level</w:t>
      </w:r>
    </w:p>
    <w:p>
      <w:r>
        <w:t>create</w:t>
      </w:r>
    </w:p>
    <w:p>
      <w:pPr>
        <w:pStyle w:val="Heading1"/>
      </w:pPr>
      <w:r>
        <w:t>Curriculum Charter</w:t>
      </w:r>
    </w:p>
    <w:p>
      <w:pPr>
        <w:pStyle w:val="Heading2"/>
      </w:pPr>
      <w:r>
        <w:t>Purpose</w:t>
      </w:r>
    </w:p>
    <w:p>
      <w:r>
        <w:t>This curriculum teaches Grades 8-12 students the science, mathematics, computer science, and engineering principles underlying machine vision and 3D scanning technology.</w:t>
      </w:r>
    </w:p>
    <w:p>
      <w:pPr>
        <w:pStyle w:val="Heading2"/>
      </w:pPr>
      <w:r>
        <w:t>Central Question</w:t>
      </w:r>
    </w:p>
    <w:p>
      <w:r>
        <w:t>How do computers build a useful digital understanding of the physical world?</w:t>
      </w:r>
    </w:p>
    <w:p>
      <w:pPr>
        <w:pStyle w:val="Heading2"/>
      </w:pPr>
      <w:r>
        <w:t>Curriculum Scope</w:t>
      </w:r>
    </w:p>
    <w:p>
      <w:r>
        <w:t>Six units covering digital imaging, shape measurement, computer vision, digital twin construction, engineering principles, and real-world applications.</w:t>
      </w:r>
    </w:p>
    <w:p>
      <w:pPr>
        <w:pStyle w:val="Heading2"/>
      </w:pPr>
      <w:r>
        <w:t>Ascand Use</w:t>
      </w:r>
    </w:p>
    <w:p>
      <w:r>
        <w:t>The ASCAND 3D scanner serves as the primary laboratory instrument in this curriculum. ASCAND is a tool for learning, not the subject of product marketing. Students use ASCAND to investigate scientific and engineering concepts.</w:t>
      </w:r>
    </w:p>
    <w:p>
      <w:pPr>
        <w:pStyle w:val="Heading2"/>
      </w:pPr>
      <w:r>
        <w:t>Integration</w:t>
      </w:r>
    </w:p>
    <w:p>
      <w:r>
        <w:t>This curriculum integrates mathematics, physics, computer science, artificial intelligence, computer vision, engineering, digital manufacturing, 3D printing, measurement and uncertainty, design thinking, and systems thinking.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