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Vertrauen und Unsicherheit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Id</w:t>
      </w:r>
    </w:p>
    <w:p>
      <w:r>
        <w:t>module_12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Wie sollten Ingenieure einen Computeroutput interpretieren, wenn das System nicht vollständig sicher ist?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Beobachtung oder Eingabe</w:t>
      </w:r>
    </w:p>
    <w:p>
      <w:pPr>
        <w:pStyle w:val="ListBullet"/>
      </w:pPr>
      <w:r>
        <w:t>Modellausgabe</w:t>
      </w:r>
    </w:p>
    <w:p>
      <w:pPr>
        <w:pStyle w:val="ListBullet"/>
      </w:pPr>
      <w:r>
        <w:t>Vertrauens- oder Qualitätsindikator</w:t>
      </w:r>
    </w:p>
    <w:p>
      <w:pPr>
        <w:pStyle w:val="ListBullet"/>
      </w:pPr>
      <w:r>
        <w:t>Vergleich mit Beweisen</w:t>
      </w:r>
    </w:p>
    <w:p>
      <w:pPr>
        <w:pStyle w:val="ListBullet"/>
      </w:pPr>
      <w:r>
        <w:t>Unsicherheitsaussage</w:t>
      </w:r>
    </w:p>
    <w:p>
      <w:pPr>
        <w:pStyle w:val="ListBullet"/>
      </w:pPr>
      <w:r>
        <w:t>Ingenieure Handlung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lo_12_01</w:t>
      </w:r>
    </w:p>
    <w:p>
      <w:pPr>
        <w:pStyle w:val="Heading3"/>
      </w:pPr>
      <w:r>
        <w:t>Description</w:t>
      </w:r>
    </w:p>
    <w:p>
      <w:r>
        <w:t>Vertrauen, Wahrscheinlichkeit, Messunsicherheit und Richtigkeit unterscheiden. (analysieren)</w:t>
      </w:r>
    </w:p>
    <w:p>
      <w:pPr>
        <w:pStyle w:val="Heading2"/>
      </w:pPr>
      <w:r>
        <w:t>lo_12_02</w:t>
      </w:r>
    </w:p>
    <w:p>
      <w:pPr>
        <w:pStyle w:val="Heading3"/>
      </w:pPr>
      <w:r>
        <w:t>Description</w:t>
      </w:r>
    </w:p>
    <w:p>
      <w:r>
        <w:t>Vertrauenskarten oder Qualitätsbewertungen interpretieren, ohne sie als Garantien zu behandeln. (anwenden)</w:t>
      </w:r>
    </w:p>
    <w:p>
      <w:pPr>
        <w:pStyle w:val="Heading2"/>
      </w:pPr>
      <w:r>
        <w:t>lo_12_03</w:t>
      </w:r>
    </w:p>
    <w:p>
      <w:pPr>
        <w:pStyle w:val="Heading3"/>
      </w:pPr>
      <w:r>
        <w:t>Description</w:t>
      </w:r>
    </w:p>
    <w:p>
      <w:r>
        <w:t>Quellen von Unsicherheit in der optischen Erfassung und AI-Inferenz identifizieren. (analysieren)</w:t>
      </w:r>
    </w:p>
    <w:p>
      <w:pPr>
        <w:pStyle w:val="Heading2"/>
      </w:pPr>
      <w:r>
        <w:t>lo_12_04</w:t>
      </w:r>
    </w:p>
    <w:p>
      <w:pPr>
        <w:pStyle w:val="Heading3"/>
      </w:pPr>
      <w:r>
        <w:t>Description</w:t>
      </w:r>
    </w:p>
    <w:p>
      <w:r>
        <w:t>Ein Ergebnis mit angemessener Unsicherheitssprache kommunizieren. (anwenden)</w:t>
      </w:r>
    </w:p>
    <w:p>
      <w:pPr>
        <w:pStyle w:val="Heading2"/>
      </w:pPr>
      <w:r>
        <w:t>lo_12_05</w:t>
      </w:r>
    </w:p>
    <w:p>
      <w:pPr>
        <w:pStyle w:val="Heading3"/>
      </w:pPr>
      <w:r>
        <w:t>Description</w:t>
      </w:r>
    </w:p>
    <w:p>
      <w:r>
        <w:t>Eine ingenieurtechnische Reaktion wählen, wenn das Vertrauen für die beabsichtigte Anwendung unzureichend ist. (bewerten)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Title</w:t>
      </w:r>
    </w:p>
    <w:p>
      <w:r>
        <w:t>ASCAND Maschinenvision Ingenieurcurriculum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"perfekt" oder "genau"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