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Confidence and Uncertainty</w:t>
      </w:r>
    </w:p>
    <w:p>
      <w:r>
        <w:rPr>
          <w:color w:val="606060"/>
          <w:sz w:val="22"/>
        </w:rPr>
        <w:t>module_12 | Grade 8-12 | 5 days</w:t>
      </w:r>
    </w:p>
    <w:p/>
    <w:p>
      <w:pPr>
        <w:pStyle w:val="Heading1"/>
      </w:pPr>
      <w:r>
        <w:t>Overview</w:t>
      </w:r>
    </w:p>
    <w:p>
      <w:r>
        <w:t>In diesem Modul 'Vertrauen und Unsicherheit' lernen die Schüler, wie Ingenieure Computerergebnisse interpretieren sollten, wenn das System nicht vollständig sicher ist. Die Schüler werden die Konzepte von Vertrauen, Wahrscheinlichkeit, Messunsicherheit und Korrektheit erkunden, während sie praktische Erfahrungen mit dem ASCAND-Instrument sammeln. Dies geschieht durch das Scannen von realen Objekten, die Analyse von Daten und das Verständnis der zugrunde liegenden Unsicherheiten.</w:t>
      </w:r>
    </w:p>
    <w:p>
      <w:pPr>
        <w:pStyle w:val="Heading1"/>
      </w:pPr>
      <w:r>
        <w:t>Background</w:t>
      </w:r>
    </w:p>
    <w:p>
      <w:r>
        <w:t>Die Interpretation von Computerergebnissen, insbesondere in ingenieurtechnischen Anwendungen, erfordert ein fundiertes Verständnis der Konzepte von Vertrauen und Unsicherheit. ASCAND verwendet strukturierte optische Projektion, um Daten zu erfassen, wobei AI-gestützte Analyse und Sensorfusion eine zentrale Rolle spielen. Die Schüler müssen lernen, wie diese Technologien zusammenarbeiten und welche Unsicherheiten dabei entstehen können. Messungen sind direkte physikalische Beobachtungen, während Berechnungen und Schätzungen auf diesen Messungen basieren. Die Unterscheidung zwischen diesen Begriffen ist entscheidend, um Missverständnisse zu vermeiden und um die Genauigkeit der Ergebnisse zu bewerten. Die Schüler sollten auch lernen, wie sie Unsicherheiten kommunizieren und die richtigen ingenieurtechnischen Reaktionen wählen können, wenn das Vertrauen in die Ergebnisse nicht ausreicht.</w:t>
      </w:r>
    </w:p>
    <w:p>
      <w:pPr>
        <w:pStyle w:val="Heading1"/>
      </w:pPr>
      <w:r>
        <w:t>Session Plans</w:t>
      </w:r>
    </w:p>
    <w:p>
      <w:pPr>
        <w:pStyle w:val="Heading2"/>
      </w:pPr>
      <w:r>
        <w:t>Einführung in Vertrauen und Unsicherheit</w:t>
      </w:r>
    </w:p>
    <w:p>
      <w:pPr>
        <w:pStyle w:val="Heading3"/>
      </w:pPr>
      <w:r>
        <w:t>Objectives</w:t>
      </w:r>
    </w:p>
    <w:p>
      <w:pPr>
        <w:pStyle w:val="ListBullet"/>
      </w:pPr>
      <w:r>
        <w:t>Verstehe die Begriffe Vertrauen, Wahrscheinlichkeit und Messunsicherheit.</w:t>
      </w:r>
    </w:p>
    <w:p>
      <w:pPr>
        <w:pStyle w:val="ListBullet"/>
      </w:pPr>
      <w:r>
        <w:t>Diskutiere die Bedeutung dieser Konzepte in der Ingenieurpraxis.</w:t>
      </w:r>
    </w:p>
    <w:p>
      <w:pPr>
        <w:pStyle w:val="Heading3"/>
      </w:pPr>
      <w:r>
        <w:t>Activities</w:t>
      </w:r>
    </w:p>
    <w:p>
      <w:pPr>
        <w:pStyle w:val="ListBullet"/>
      </w:pPr>
      <w:r>
        <w:t>Beginne mit einer Klassendiskussion über Vertrauen und Unsicherheit in alltäglichen Entscheidungen.</w:t>
      </w:r>
    </w:p>
    <w:p>
      <w:pPr>
        <w:pStyle w:val="ListBullet"/>
      </w:pPr>
      <w:r>
        <w:t>Führe ein kurzes Experiment durch, bei dem die Schüler Schätzungen abgeben und deren Unsicherheiten diskutieren.</w:t>
      </w:r>
    </w:p>
    <w:p>
      <w:pPr>
        <w:pStyle w:val="ListBullet"/>
      </w:pPr>
      <w:r>
        <w:t>Präsentiere ein kurzes Video über ASCAND und seine Technologien.</w:t>
      </w:r>
    </w:p>
    <w:p>
      <w:pPr>
        <w:pStyle w:val="Heading3"/>
      </w:pPr>
      <w:r>
        <w:t>Assessment</w:t>
      </w:r>
    </w:p>
    <w:p>
      <w:r>
        <w:t>Beobachte die Teilnahme an der Diskussion und bewerte die Qualität der Schätzungen der Schüler.</w:t>
      </w:r>
    </w:p>
    <w:p>
      <w:pPr>
        <w:pStyle w:val="Heading2"/>
      </w:pPr>
      <w:r>
        <w:t>Verwendung des ASCAND-Instruments</w:t>
      </w:r>
    </w:p>
    <w:p>
      <w:pPr>
        <w:pStyle w:val="Heading3"/>
      </w:pPr>
      <w:r>
        <w:t>Objectives</w:t>
      </w:r>
    </w:p>
    <w:p>
      <w:pPr>
        <w:pStyle w:val="ListBullet"/>
      </w:pPr>
      <w:r>
        <w:t>Lerne, wie man das ASCAND-Instrument einrichtet und verwendet.</w:t>
      </w:r>
    </w:p>
    <w:p>
      <w:pPr>
        <w:pStyle w:val="ListBullet"/>
      </w:pPr>
      <w:r>
        <w:t>Verstehe die Rolle von strukturierter optischer Projektion bei der Datenerfassung.</w:t>
      </w:r>
    </w:p>
    <w:p>
      <w:pPr>
        <w:pStyle w:val="Heading3"/>
      </w:pPr>
      <w:r>
        <w:t>Activities</w:t>
      </w:r>
    </w:p>
    <w:p>
      <w:pPr>
        <w:pStyle w:val="ListBullet"/>
      </w:pPr>
      <w:r>
        <w:t>Demonstriere die Einrichtung des ASCAND-Systems und führe die Schüler durch den Scanprozess.</w:t>
      </w:r>
    </w:p>
    <w:p>
      <w:pPr>
        <w:pStyle w:val="ListBullet"/>
      </w:pPr>
      <w:r>
        <w:t>Lasse die Schüler ein eigenes Objekt scannen und die gesammelten Daten analysieren.</w:t>
      </w:r>
    </w:p>
    <w:p>
      <w:pPr>
        <w:pStyle w:val="Heading3"/>
      </w:pPr>
      <w:r>
        <w:t>Assessment</w:t>
      </w:r>
    </w:p>
    <w:p>
      <w:r>
        <w:t>Bewerte die Fähigkeit der Schüler, das ASCAND korrekt zu bedienen und die Daten zu interpretieren.</w:t>
      </w:r>
    </w:p>
    <w:p>
      <w:pPr>
        <w:pStyle w:val="Heading2"/>
      </w:pPr>
      <w:r>
        <w:t>Analyse von Unsicherheit in Daten</w:t>
      </w:r>
    </w:p>
    <w:p>
      <w:pPr>
        <w:pStyle w:val="Heading3"/>
      </w:pPr>
      <w:r>
        <w:t>Objectives</w:t>
      </w:r>
    </w:p>
    <w:p>
      <w:pPr>
        <w:pStyle w:val="ListBullet"/>
      </w:pPr>
      <w:r>
        <w:t>Identifiziere Quellen der Unsicherheit in den gescannten Daten.</w:t>
      </w:r>
    </w:p>
    <w:p>
      <w:pPr>
        <w:pStyle w:val="ListBullet"/>
      </w:pPr>
      <w:r>
        <w:t>Lerne, wie man Unsicherheiten in den Ergebnissen kommuniziert.</w:t>
      </w:r>
    </w:p>
    <w:p>
      <w:pPr>
        <w:pStyle w:val="Heading3"/>
      </w:pPr>
      <w:r>
        <w:t>Activities</w:t>
      </w:r>
    </w:p>
    <w:p>
      <w:pPr>
        <w:pStyle w:val="ListBullet"/>
      </w:pPr>
      <w:r>
        <w:t>Arbeite mit den gescannten Daten und lasse die Schüler die Unsicherheiten analysieren.</w:t>
      </w:r>
    </w:p>
    <w:p>
      <w:pPr>
        <w:pStyle w:val="ListBullet"/>
      </w:pPr>
      <w:r>
        <w:t>Diskutiere, wie diese Unsicherheiten die Ingenieurentscheidungen beeinflussen können.</w:t>
      </w:r>
    </w:p>
    <w:p>
      <w:pPr>
        <w:pStyle w:val="Heading3"/>
      </w:pPr>
      <w:r>
        <w:t>Assessment</w:t>
      </w:r>
    </w:p>
    <w:p>
      <w:r>
        <w:t>Erstelle eine kurze schriftliche Reflexion über die identifizierten Unsicherheiten.</w:t>
      </w:r>
    </w:p>
    <w:p>
      <w:pPr>
        <w:pStyle w:val="Heading2"/>
      </w:pPr>
      <w:r>
        <w:t>Engineering Design Thinking und Unsicherheit</w:t>
      </w:r>
    </w:p>
    <w:p>
      <w:pPr>
        <w:pStyle w:val="Heading3"/>
      </w:pPr>
      <w:r>
        <w:t>Objectives</w:t>
      </w:r>
    </w:p>
    <w:p>
      <w:pPr>
        <w:pStyle w:val="ListBullet"/>
      </w:pPr>
      <w:r>
        <w:t>Anwenden des Ingenieurdesignprozesses unter Berücksichtigung von Unsicherheiten.</w:t>
      </w:r>
    </w:p>
    <w:p>
      <w:pPr>
        <w:pStyle w:val="ListBullet"/>
      </w:pPr>
      <w:r>
        <w:t>Entwickle Lösungen für technische Probleme, bei denen Unsicherheiten eine Rolle spielen.</w:t>
      </w:r>
    </w:p>
    <w:p>
      <w:pPr>
        <w:pStyle w:val="Heading3"/>
      </w:pPr>
      <w:r>
        <w:t>Activities</w:t>
      </w:r>
    </w:p>
    <w:p>
      <w:pPr>
        <w:pStyle w:val="ListBullet"/>
      </w:pPr>
      <w:r>
        <w:t>Führe eine Gruppenaktivität durch, bei der die Schüler ein technisches Problem identifizieren und Lösungen entwickeln.</w:t>
      </w:r>
    </w:p>
    <w:p>
      <w:pPr>
        <w:pStyle w:val="ListBullet"/>
      </w:pPr>
      <w:r>
        <w:t>Präsentiere die Lösungen und diskutiere, wie Unsicherheiten in den Entscheidungsprozess integriert wurden.</w:t>
      </w:r>
    </w:p>
    <w:p>
      <w:pPr>
        <w:pStyle w:val="Heading3"/>
      </w:pPr>
      <w:r>
        <w:t>Assessment</w:t>
      </w:r>
    </w:p>
    <w:p>
      <w:r>
        <w:t>Bewerte die Gruppenpräsentationen hinsichtlich der Berücksichtigung von Unsicherheiten.</w:t>
      </w:r>
    </w:p>
    <w:p>
      <w:pPr>
        <w:pStyle w:val="Heading2"/>
      </w:pPr>
      <w:r>
        <w:t>Präsentation und Reflexion</w:t>
      </w:r>
    </w:p>
    <w:p>
      <w:pPr>
        <w:pStyle w:val="Heading3"/>
      </w:pPr>
      <w:r>
        <w:t>Objectives</w:t>
      </w:r>
    </w:p>
    <w:p>
      <w:pPr>
        <w:pStyle w:val="ListBullet"/>
      </w:pPr>
      <w:r>
        <w:t>Präsentiere die Ergebnisse der Gruppenprojekte.</w:t>
      </w:r>
    </w:p>
    <w:p>
      <w:pPr>
        <w:pStyle w:val="ListBullet"/>
      </w:pPr>
      <w:r>
        <w:t>Reflektiere über den Lernprozess und die Bedeutung von Vertrauen und Unsicherheit in der Ingenieurwissenschaft.</w:t>
      </w:r>
    </w:p>
    <w:p>
      <w:pPr>
        <w:pStyle w:val="Heading3"/>
      </w:pPr>
      <w:r>
        <w:t>Activities</w:t>
      </w:r>
    </w:p>
    <w:p>
      <w:pPr>
        <w:pStyle w:val="ListBullet"/>
      </w:pPr>
      <w:r>
        <w:t>Lasse jede Gruppe ihre Ergebnisse präsentieren und Feedback von den Mitschülern einholen.</w:t>
      </w:r>
    </w:p>
    <w:p>
      <w:pPr>
        <w:pStyle w:val="ListBullet"/>
      </w:pPr>
      <w:r>
        <w:t>Führe eine abschließende Diskussion über die wichtigsten Erkenntnisse aus dem Modul.</w:t>
      </w:r>
    </w:p>
    <w:p>
      <w:pPr>
        <w:pStyle w:val="Heading3"/>
      </w:pPr>
      <w:r>
        <w:t>Assessment</w:t>
      </w:r>
    </w:p>
    <w:p>
      <w:r>
        <w:t>Bewerte die Präsentationen und die aktive Teilnahme an der Diskussion.</w:t>
      </w:r>
    </w:p>
    <w:p>
      <w:pPr>
        <w:pStyle w:val="Heading1"/>
      </w:pPr>
      <w:r>
        <w:t>Common Misconceptions</w:t>
      </w:r>
    </w:p>
    <w:p>
      <w:pPr>
        <w:pStyle w:val="Heading3"/>
      </w:pPr>
      <w:r>
        <w:t>Misconception</w:t>
      </w:r>
    </w:p>
    <w:p>
      <w:r>
        <w:t>ASCAND misst die Tiefe direkt.</w:t>
      </w:r>
    </w:p>
    <w:p>
      <w:pPr>
        <w:pStyle w:val="Heading3"/>
      </w:pPr>
      <w:r>
        <w:t>Correction</w:t>
      </w:r>
    </w:p>
    <w:p>
      <w:r>
        <w:t>ASCAND schätzt die Tiefe mithilfe von AI-gestützter Analyse von strukturierten Lichtmustern.</w:t>
      </w:r>
    </w:p>
    <w:p>
      <w:pPr>
        <w:pStyle w:val="Heading3"/>
      </w:pPr>
      <w:r>
        <w:t>Misconception</w:t>
      </w:r>
    </w:p>
    <w:p>
      <w:r>
        <w:t>Unsicherheiten sind immer negativ und können ignoriert werden.</w:t>
      </w:r>
    </w:p>
    <w:p>
      <w:pPr>
        <w:pStyle w:val="Heading3"/>
      </w:pPr>
      <w:r>
        <w:t>Correction</w:t>
      </w:r>
    </w:p>
    <w:p>
      <w:r>
        <w:t>Unsicherheiten sind ein natürlicher Teil der Messung und sollten analysiert und kommuniziert werden.</w:t>
      </w:r>
    </w:p>
    <w:p>
      <w:pPr>
        <w:pStyle w:val="Heading1"/>
      </w:pPr>
      <w:r>
        <w:t>Differentiation Strategies</w:t>
      </w:r>
    </w:p>
    <w:p>
      <w:pPr>
        <w:pStyle w:val="Heading2"/>
      </w:pPr>
      <w:r>
        <w:t>Supports</w:t>
      </w:r>
    </w:p>
    <w:p>
      <w:pPr>
        <w:pStyle w:val="ListBullet"/>
      </w:pPr>
      <w:r>
        <w:t>Biete zusätzliche Ressourcen und Materialien für Schüler, die zusätzliche Hilfe benötigen.</w:t>
      </w:r>
    </w:p>
    <w:p>
      <w:pPr>
        <w:pStyle w:val="ListBullet"/>
      </w:pPr>
      <w:r>
        <w:t>Verwende visuelle Hilfsmittel und praktische Beispiele, um Konzepte zu verdeutlichen.</w:t>
      </w:r>
    </w:p>
    <w:p>
      <w:pPr>
        <w:pStyle w:val="Heading2"/>
      </w:pPr>
      <w:r>
        <w:t>Extensions</w:t>
      </w:r>
    </w:p>
    <w:p>
      <w:pPr>
        <w:pStyle w:val="ListBullet"/>
      </w:pPr>
      <w:r>
        <w:t>Ermutige fortgeschrittene Schüler, komplexere Probleme zu untersuchen oder eigene Projekte zu entwickeln.</w:t>
      </w:r>
    </w:p>
    <w:p>
      <w:pPr>
        <w:pStyle w:val="ListBullet"/>
      </w:pPr>
      <w:r>
        <w:t>Biete Möglichkeiten zur vertieften Forschung über AI und Unsicherheit in der Ingenieurwissenschaft.</w:t>
      </w:r>
    </w:p>
    <w:p>
      <w:pPr>
        <w:pStyle w:val="Heading1"/>
      </w:pPr>
      <w:r>
        <w:t>Formative Assessment Suggestions</w:t>
      </w:r>
    </w:p>
    <w:p>
      <w:pPr>
        <w:pStyle w:val="ListBullet"/>
      </w:pPr>
      <w:r>
        <w:t>Beobachtungen während der Gruppenarbeiten und Diskussionen.</w:t>
      </w:r>
    </w:p>
    <w:p>
      <w:pPr>
        <w:pStyle w:val="ListBullet"/>
      </w:pPr>
      <w:r>
        <w:t>Kurze Reflexionspapiere, die das Verständnis der Schüler über Vertrauen und Unsicherheit bewerten.</w:t>
      </w:r>
    </w:p>
    <w:p>
      <w:pPr>
        <w:pStyle w:val="ListBullet"/>
      </w:pPr>
      <w:r>
        <w:t>Peer-Feedback zu Präsentationen und Projekten.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