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Meshes</w:t>
      </w:r>
    </w:p>
    <w:p>
      <w:r>
        <w:rPr>
          <w:color w:val="606060"/>
          <w:sz w:val="22"/>
        </w:rPr>
        <w:t>module_15 | Grade 8-12 | 5 days</w:t>
      </w:r>
    </w:p>
    <w:p/>
    <w:p>
      <w:pPr>
        <w:pStyle w:val="Heading1"/>
      </w:pPr>
      <w:r>
        <w:t>Terminology Usage</w:t>
      </w:r>
    </w:p>
    <w:p>
      <w:r>
        <w:t>Consistency: True</w:t>
      </w:r>
    </w:p>
    <w:p>
      <w:pPr>
        <w:pStyle w:val="Heading2"/>
      </w:pPr>
      <w:r>
        <w:t>Notes</w:t>
      </w:r>
    </w:p>
    <w:p>
      <w:r>
        <w:t>Die verwendete Terminologie ist über alle Artefakte hinweg konsistent. Fachbegriffe wurden einheitlich angewendet.</w:t>
      </w:r>
    </w:p>
    <w:p>
      <w:pPr>
        <w:pStyle w:val="Heading1"/>
      </w:pPr>
      <w:r>
        <w:t>Learning Objective Alignment</w:t>
      </w:r>
    </w:p>
    <w:p>
      <w:r>
        <w:t>Consistency: True</w:t>
      </w:r>
    </w:p>
    <w:p>
      <w:pPr>
        <w:pStyle w:val="Heading2"/>
      </w:pPr>
      <w:r>
        <w:t>Notes</w:t>
      </w:r>
    </w:p>
    <w:p>
      <w:r>
        <w:t>Die Lernziele sind klar definiert und in allen Artefakten gut aufeinander abgestimmt.</w:t>
      </w:r>
    </w:p>
    <w:p>
      <w:pPr>
        <w:pStyle w:val="Heading1"/>
      </w:pPr>
      <w:r>
        <w:t>Session Structure Alignment</w:t>
      </w:r>
    </w:p>
    <w:p>
      <w:r>
        <w:t>Consistency: True</w:t>
      </w:r>
    </w:p>
    <w:p>
      <w:pPr>
        <w:pStyle w:val="Heading2"/>
      </w:pPr>
      <w:r>
        <w:t>Notes</w:t>
      </w:r>
    </w:p>
    <w:p>
      <w:r>
        <w:t>Die Struktur der Sitzungen ist einheitlich und folgt einem klaren Format, das in allen Materialien nachvollzogen werden kann.</w:t>
      </w:r>
    </w:p>
    <w:p>
      <w:pPr>
        <w:pStyle w:val="Heading1"/>
      </w:pPr>
      <w:r>
        <w:t>Assessment To Objective Alignment</w:t>
      </w:r>
    </w:p>
    <w:p>
      <w:r>
        <w:t>Consistency: True</w:t>
      </w:r>
    </w:p>
    <w:p>
      <w:pPr>
        <w:pStyle w:val="Heading2"/>
      </w:pPr>
      <w:r>
        <w:t>Notes</w:t>
      </w:r>
    </w:p>
    <w:p>
      <w:r>
        <w:t>Die Bewertungen sind eng mit den Lernzielen verknüpft und messen effektiv den Lernerfolg der Schüler.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