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Id</w:t>
      </w:r>
    </w:p>
    <w:p>
      <w:r>
        <w:t>module_15</w:t>
      </w:r>
    </w:p>
    <w:p>
      <w:pPr>
        <w:pStyle w:val="Heading1"/>
      </w:pPr>
      <w:r>
        <w:t>Title</w:t>
      </w:r>
    </w:p>
    <w:p>
      <w:r>
        <w:t>Meshes</w:t>
      </w:r>
    </w:p>
    <w:p>
      <w:pPr>
        <w:pStyle w:val="Heading1"/>
      </w:pPr>
      <w:r>
        <w:t>Unit</w:t>
      </w:r>
    </w:p>
    <w:p>
      <w:r>
        <w:t>Building the Digital Twin</w:t>
      </w:r>
    </w:p>
    <w:p>
      <w:pPr>
        <w:pStyle w:val="Heading1"/>
      </w:pPr>
      <w:r>
        <w:t>Drivingquestion</w:t>
      </w:r>
    </w:p>
    <w:p>
      <w:r>
        <w:t>Wie verbindet ein Computer abgetastete Punkte, um eine Oberfläche zu erstellen?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Punktproben</w:t>
      </w:r>
    </w:p>
    <w:p>
      <w:pPr>
        <w:pStyle w:val="ListBullet"/>
      </w:pPr>
      <w:r>
        <w:t>Nachbarschaftsbeziehungen</w:t>
      </w:r>
    </w:p>
    <w:p>
      <w:pPr>
        <w:pStyle w:val="ListBullet"/>
      </w:pPr>
      <w:r>
        <w:t>Eckpunkte und Kanten</w:t>
      </w:r>
    </w:p>
    <w:p>
      <w:pPr>
        <w:pStyle w:val="ListBullet"/>
      </w:pPr>
      <w:r>
        <w:t>Polygonflächen</w:t>
      </w:r>
    </w:p>
    <w:p>
      <w:pPr>
        <w:pStyle w:val="ListBullet"/>
      </w:pPr>
      <w:r>
        <w:t>Oberflächen-Mesh</w:t>
      </w:r>
    </w:p>
    <w:p>
      <w:pPr>
        <w:pStyle w:val="ListBullet"/>
      </w:pPr>
      <w:r>
        <w:t>Topologie und Qualitätsprüfungen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 15 01</w:t>
      </w:r>
    </w:p>
    <w:p>
      <w:r>
        <w:t>Definiere Eckpunkte, Kanten, Flächen und Topologie in einem Polygon-Mesh. (erinnern)</w:t>
      </w:r>
    </w:p>
    <w:p>
      <w:pPr>
        <w:pStyle w:val="Heading2"/>
      </w:pPr>
      <w:r>
        <w:t>Lo 15 02</w:t>
      </w:r>
    </w:p>
    <w:p>
      <w:r>
        <w:t>Erkläre, wie die Konnektivität eine Punktmenge in eine Oberflächenrepräsentation umwandelt. (verstehen)</w:t>
      </w:r>
    </w:p>
    <w:p>
      <w:pPr>
        <w:pStyle w:val="Heading2"/>
      </w:pPr>
      <w:r>
        <w:t>Lo 15 03</w:t>
      </w:r>
    </w:p>
    <w:p>
      <w:r>
        <w:t>Identifiziere Löcher, nicht-manifold Regionen, umgedrehte Flächen und übermäßige Dreiecke. (analysieren)</w:t>
      </w:r>
    </w:p>
    <w:p>
      <w:pPr>
        <w:pStyle w:val="Heading2"/>
      </w:pPr>
      <w:r>
        <w:t>Lo 15 04</w:t>
      </w:r>
    </w:p>
    <w:p>
      <w:r>
        <w:t>Vergleiche die Mesh-Auflösung mit der geometrischen Genauigkeit. (analysieren)</w:t>
      </w:r>
    </w:p>
    <w:p>
      <w:pPr>
        <w:pStyle w:val="Heading2"/>
      </w:pPr>
      <w:r>
        <w:t>Lo 15 05</w:t>
      </w:r>
    </w:p>
    <w:p>
      <w:r>
        <w:t>Wähle eine geeignete Mesh-Qualität für Visualisierung oder Fertigung aus. (bewerten)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Zweck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Zentralefrage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Umfangdescurriculums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Ascandalslaborinstrument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Technicalaccuracyrules</w:t>
      </w:r>
    </w:p>
    <w:p>
      <w:pPr>
        <w:pStyle w:val="Heading2"/>
      </w:pPr>
      <w:r>
        <w:t>Kritischeunterscheidungen</w:t>
      </w:r>
    </w:p>
    <w:p>
      <w:pPr>
        <w:pStyle w:val="Heading3"/>
      </w:pPr>
      <w:r>
        <w:t>Ascandsensingtechnology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Nonlaserworkflowcomponents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Laserworkflowoptional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Erforderlicheterminologiepräzision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Verbotenebehauptungen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