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Preparing for 3D Printing</w:t>
      </w:r>
    </w:p>
    <w:p>
      <w:r>
        <w:rPr>
          <w:color w:val="606060"/>
          <w:sz w:val="22"/>
        </w:rPr>
        <w:t>module_17 | Grade 8-12 | 5 days</w:t>
      </w:r>
    </w:p>
    <w:p/>
    <w:p>
      <w:pPr>
        <w:pStyle w:val="Heading1"/>
      </w:pPr>
      <w:r>
        <w:t>Module Overview</w:t>
      </w:r>
    </w:p>
    <w:p>
      <w:r>
        <w:t>In diesem Modul "Vorbereitung auf den 3D-Druck" lernen Schüler, welche Eigenschaften ein digitales Modell aufweisen muss, um als zuverlässiger Ausgangspunkt für den 3D-Druck zu dienen. Durch praktische Erfahrungen mit dem ASCAND-Instrument werden sie die Herausforderungen der digitalen Modellierung und der Fertigung verstehen und bewältigen.</w:t>
      </w:r>
    </w:p>
    <w:p>
      <w:pPr>
        <w:pStyle w:val="Heading1"/>
      </w:pPr>
      <w:r>
        <w:t>Background Content</w:t>
      </w:r>
    </w:p>
    <w:p>
      <w:pPr>
        <w:pStyle w:val="Heading2"/>
      </w:pPr>
      <w:r>
        <w:t>Introduction</w:t>
      </w:r>
    </w:p>
    <w:p>
      <w:r>
        <w:t>Um die Grundlagen des 3D-Drucks zu verstehen, ist es wichtig, die Eigenschaften eines digitalen Modells zu kennen, die dessen Druckbarkeit beeinflussen. ASCAND nutzt strukturierte optische Projektion, AI-basierte Analyse und Sensorfusion, um präzise digitale Modelle zu erstellen. Diese Technologien ermöglichen es, die Geometrie eines Objekts zu erfassen und die Daten in ein 3D-Modell zu überführen, das für den Druck geeignet ist.</w:t>
      </w:r>
    </w:p>
    <w:p>
      <w:pPr>
        <w:pStyle w:val="Heading2"/>
      </w:pPr>
      <w:r>
        <w:t>Key Technologies</w:t>
      </w:r>
    </w:p>
    <w:p>
      <w:pPr>
        <w:pStyle w:val="Heading3"/>
      </w:pPr>
      <w:r>
        <w:t>Structured Optical Projection</w:t>
      </w:r>
    </w:p>
    <w:p>
      <w:r>
        <w:t>ASCAND verwendet strukturierte optische Projektion, einschließlich Gray-Code-Mustern, um die Positionen auf der Oberfläche eines Objekts präzise zu kodieren. Diese Technik ermöglicht die Erfassung detaillierter Oberflächeninformationen, die für die Erstellung eines genauen digitalen Modells entscheidend sind.</w:t>
      </w:r>
    </w:p>
    <w:p>
      <w:pPr>
        <w:pStyle w:val="Heading3"/>
      </w:pPr>
      <w:r>
        <w:t>Ai Depth Estimation</w:t>
      </w:r>
    </w:p>
    <w:p>
      <w:r>
        <w:t>Die AI-Tiefenschätzung nutzt maschinelles Lernen, um die Tiefe aus Bilddaten abzuleiten. Dies ist eine Schätzung, die Unsicherheiten aufweisen kann und nicht mit direkten Messungen gleichzusetzen ist. Es ist wichtig, diese Unterscheidung im Unterricht zu betonen.</w:t>
      </w:r>
    </w:p>
    <w:p>
      <w:pPr>
        <w:pStyle w:val="Heading3"/>
      </w:pPr>
      <w:r>
        <w:t>Point Clouds And Meshes</w:t>
      </w:r>
    </w:p>
    <w:p>
      <w:r>
        <w:t>Punktwolken sind die ersten 3D-Ausgaben eines Scanning-Prozesses und bestehen aus einer Vielzahl von Datenpunkten. Um eine druckbare Form zu erhalten, müssen Punktwolken in ein Polygonnetz umgewandelt werden, was eine wichtige Vorstufe zur Erstellung eines digitalen Zwillings darstellt.</w:t>
      </w:r>
    </w:p>
    <w:p>
      <w:pPr>
        <w:pStyle w:val="Heading1"/>
      </w:pPr>
      <w:r>
        <w:t>Session Plans</w:t>
      </w:r>
    </w:p>
    <w:p>
      <w:pPr>
        <w:pStyle w:val="Heading2"/>
      </w:pPr>
      <w:r>
        <w:t>Einführung in digitale Modelle</w:t>
      </w:r>
    </w:p>
    <w:p>
      <w:r>
        <w:t>Session Number: 1</w:t>
      </w:r>
    </w:p>
    <w:p>
      <w:pPr>
        <w:pStyle w:val="Heading3"/>
      </w:pPr>
      <w:r>
        <w:t>Objectives</w:t>
      </w:r>
    </w:p>
    <w:p>
      <w:pPr>
        <w:pStyle w:val="ListBullet"/>
      </w:pPr>
      <w:r>
        <w:t>Schüler verstehen die Grundlagen digitaler Modelle und deren Bedeutung für den 3D-Druck.</w:t>
      </w:r>
    </w:p>
    <w:p>
      <w:pPr>
        <w:pStyle w:val="ListBullet"/>
      </w:pPr>
      <w:r>
        <w:t>Erklären, warum visuell akzeptable Modelle möglicherweise nicht druckbar sind.</w:t>
      </w:r>
    </w:p>
    <w:p>
      <w:pPr>
        <w:pStyle w:val="Heading3"/>
      </w:pPr>
      <w:r>
        <w:t>Activities</w:t>
      </w:r>
    </w:p>
    <w:p>
      <w:pPr>
        <w:pStyle w:val="ListBullet"/>
      </w:pPr>
      <w:r>
        <w:t>Diskussion über digitale Modelle und deren Eigenschaften.</w:t>
      </w:r>
    </w:p>
    <w:p>
      <w:pPr>
        <w:pStyle w:val="ListBullet"/>
      </w:pPr>
      <w:r>
        <w:t>Vorführung eines ASCAND-Scans eines Objekts und Analyse des resultierenden Modells.</w:t>
      </w:r>
    </w:p>
    <w:p>
      <w:pPr>
        <w:pStyle w:val="Heading3"/>
      </w:pPr>
      <w:r>
        <w:t>Materials</w:t>
      </w:r>
    </w:p>
    <w:p>
      <w:pPr>
        <w:pStyle w:val="ListBullet"/>
      </w:pPr>
      <w:r>
        <w:t>ASCAND-Gerät</w:t>
      </w:r>
    </w:p>
    <w:p>
      <w:pPr>
        <w:pStyle w:val="ListBullet"/>
      </w:pPr>
      <w:r>
        <w:t>Beispielobjekte für das Scannen</w:t>
      </w:r>
    </w:p>
    <w:p>
      <w:pPr>
        <w:pStyle w:val="Heading2"/>
      </w:pPr>
      <w:r>
        <w:t>Überprüfung der Modellparameter</w:t>
      </w:r>
    </w:p>
    <w:p>
      <w:r>
        <w:t>Session Number: 2</w:t>
      </w:r>
    </w:p>
    <w:p>
      <w:pPr>
        <w:pStyle w:val="Heading3"/>
      </w:pPr>
      <w:r>
        <w:t>Objectives</w:t>
      </w:r>
    </w:p>
    <w:p>
      <w:pPr>
        <w:pStyle w:val="ListBullet"/>
      </w:pPr>
      <w:r>
        <w:t>Schüler lernen, wichtige Parameter wie Maßstab, Einheiten, Dichtigkeit und Wandstärke zu überprüfen.</w:t>
      </w:r>
    </w:p>
    <w:p>
      <w:pPr>
        <w:pStyle w:val="ListBullet"/>
      </w:pPr>
      <w:r>
        <w:t>Erkennen von Stabilitätsproblemen bei der Basis eines Modells.</w:t>
      </w:r>
    </w:p>
    <w:p>
      <w:pPr>
        <w:pStyle w:val="Heading3"/>
      </w:pPr>
      <w:r>
        <w:t>Activities</w:t>
      </w:r>
    </w:p>
    <w:p>
      <w:pPr>
        <w:pStyle w:val="ListBullet"/>
      </w:pPr>
      <w:r>
        <w:t>Gruppenarbeit zur Überprüfung von Beispielmodellen.</w:t>
      </w:r>
    </w:p>
    <w:p>
      <w:pPr>
        <w:pStyle w:val="ListBullet"/>
      </w:pPr>
      <w:r>
        <w:t>Erstellen einer Checkliste zur Bewertung der Druckbarkeit.</w:t>
      </w:r>
    </w:p>
    <w:p>
      <w:pPr>
        <w:pStyle w:val="Heading3"/>
      </w:pPr>
      <w:r>
        <w:t>Materials</w:t>
      </w:r>
    </w:p>
    <w:p>
      <w:pPr>
        <w:pStyle w:val="ListBullet"/>
      </w:pPr>
      <w:r>
        <w:t>Checklisten</w:t>
      </w:r>
    </w:p>
    <w:p>
      <w:pPr>
        <w:pStyle w:val="ListBullet"/>
      </w:pPr>
      <w:r>
        <w:t>Beispielmodelle</w:t>
      </w:r>
    </w:p>
    <w:p>
      <w:pPr>
        <w:pStyle w:val="Heading2"/>
      </w:pPr>
      <w:r>
        <w:t>Interpretation von Slicer-Vorschauen</w:t>
      </w:r>
    </w:p>
    <w:p>
      <w:r>
        <w:t>Session Number: 3</w:t>
      </w:r>
    </w:p>
    <w:p>
      <w:pPr>
        <w:pStyle w:val="Heading3"/>
      </w:pPr>
      <w:r>
        <w:t>Objectives</w:t>
      </w:r>
    </w:p>
    <w:p>
      <w:pPr>
        <w:pStyle w:val="ListBullet"/>
      </w:pPr>
      <w:r>
        <w:t>Schüler lernen, Slicer-Vorschauen zu interpretieren und potenzielle Druckprobleme zu identifizieren.</w:t>
      </w:r>
    </w:p>
    <w:p>
      <w:pPr>
        <w:pStyle w:val="ListBullet"/>
      </w:pPr>
      <w:r>
        <w:t>Verstehen der Bedeutung von Layer-Thickness und Füllmustern.</w:t>
      </w:r>
    </w:p>
    <w:p>
      <w:pPr>
        <w:pStyle w:val="Heading3"/>
      </w:pPr>
      <w:r>
        <w:t>Activities</w:t>
      </w:r>
    </w:p>
    <w:p>
      <w:pPr>
        <w:pStyle w:val="ListBullet"/>
      </w:pPr>
      <w:r>
        <w:t>Analyse von Slicer-Vorschau-Demos.</w:t>
      </w:r>
    </w:p>
    <w:p>
      <w:pPr>
        <w:pStyle w:val="ListBullet"/>
      </w:pPr>
      <w:r>
        <w:t>Erstellen von Vorschlägen zur Optimierung von Druckeinstellungen.</w:t>
      </w:r>
    </w:p>
    <w:p>
      <w:pPr>
        <w:pStyle w:val="Heading3"/>
      </w:pPr>
      <w:r>
        <w:t>Materials</w:t>
      </w:r>
    </w:p>
    <w:p>
      <w:pPr>
        <w:pStyle w:val="ListBullet"/>
      </w:pPr>
      <w:r>
        <w:t>Slicing-Software</w:t>
      </w:r>
    </w:p>
    <w:p>
      <w:pPr>
        <w:pStyle w:val="ListBullet"/>
      </w:pPr>
      <w:r>
        <w:t>Beispielmodelle</w:t>
      </w:r>
    </w:p>
    <w:p>
      <w:pPr>
        <w:pStyle w:val="Heading2"/>
      </w:pPr>
      <w:r>
        <w:t>Modifikation von gescannten Modellen</w:t>
      </w:r>
    </w:p>
    <w:p>
      <w:r>
        <w:t>Session Number: 4</w:t>
      </w:r>
    </w:p>
    <w:p>
      <w:pPr>
        <w:pStyle w:val="Heading3"/>
      </w:pPr>
      <w:r>
        <w:t>Objectives</w:t>
      </w:r>
    </w:p>
    <w:p>
      <w:pPr>
        <w:pStyle w:val="ListBullet"/>
      </w:pPr>
      <w:r>
        <w:t>Schüler lernen, wie man gescannte Modelle an Fertigungsanforderungen anpasst.</w:t>
      </w:r>
    </w:p>
    <w:p>
      <w:pPr>
        <w:pStyle w:val="ListBullet"/>
      </w:pPr>
      <w:r>
        <w:t>Erwerben von Fähigkeiten zur Fehlerbehebung in digitalen Modellen.</w:t>
      </w:r>
    </w:p>
    <w:p>
      <w:pPr>
        <w:pStyle w:val="Heading3"/>
      </w:pPr>
      <w:r>
        <w:t>Activities</w:t>
      </w:r>
    </w:p>
    <w:p>
      <w:pPr>
        <w:pStyle w:val="ListBullet"/>
      </w:pPr>
      <w:r>
        <w:t>Praktische Übung zur Modifikation eines gescannten Modells.</w:t>
      </w:r>
    </w:p>
    <w:p>
      <w:pPr>
        <w:pStyle w:val="ListBullet"/>
      </w:pPr>
      <w:r>
        <w:t>Feedback-Runde zur Identifizierung von Verbesserungen.</w:t>
      </w:r>
    </w:p>
    <w:p>
      <w:pPr>
        <w:pStyle w:val="Heading3"/>
      </w:pPr>
      <w:r>
        <w:t>Materials</w:t>
      </w:r>
    </w:p>
    <w:p>
      <w:pPr>
        <w:pStyle w:val="ListBullet"/>
      </w:pPr>
      <w:r>
        <w:t>Computersoftware zur Modellbearbeitung</w:t>
      </w:r>
    </w:p>
    <w:p>
      <w:pPr>
        <w:pStyle w:val="ListBullet"/>
      </w:pPr>
      <w:r>
        <w:t>Gescannte Modelle</w:t>
      </w:r>
    </w:p>
    <w:p>
      <w:pPr>
        <w:pStyle w:val="Heading2"/>
      </w:pPr>
      <w:r>
        <w:t>Vergleich und Bewertung</w:t>
      </w:r>
    </w:p>
    <w:p>
      <w:r>
        <w:t>Session Number: 5</w:t>
      </w:r>
    </w:p>
    <w:p>
      <w:pPr>
        <w:pStyle w:val="Heading3"/>
      </w:pPr>
      <w:r>
        <w:t>Objectives</w:t>
      </w:r>
    </w:p>
    <w:p>
      <w:pPr>
        <w:pStyle w:val="ListBullet"/>
      </w:pPr>
      <w:r>
        <w:t>Schüler vergleichen das gedruckte Objekt mit dem Quellobjekt und evaluieren Abweichungen.</w:t>
      </w:r>
    </w:p>
    <w:p>
      <w:pPr>
        <w:pStyle w:val="ListBullet"/>
      </w:pPr>
      <w:r>
        <w:t>Diskussion der Bedeutung von Genauigkeit im 3D-Druck.</w:t>
      </w:r>
    </w:p>
    <w:p>
      <w:pPr>
        <w:pStyle w:val="Heading3"/>
      </w:pPr>
      <w:r>
        <w:t>Activities</w:t>
      </w:r>
    </w:p>
    <w:p>
      <w:pPr>
        <w:pStyle w:val="ListBullet"/>
      </w:pPr>
      <w:r>
        <w:t>Präsentation der gedruckten Modelle.</w:t>
      </w:r>
    </w:p>
    <w:p>
      <w:pPr>
        <w:pStyle w:val="ListBullet"/>
      </w:pPr>
      <w:r>
        <w:t>Gruppendiskussion über Abweichungen und deren Ursachen.</w:t>
      </w:r>
    </w:p>
    <w:p>
      <w:pPr>
        <w:pStyle w:val="Heading3"/>
      </w:pPr>
      <w:r>
        <w:t>Materials</w:t>
      </w:r>
    </w:p>
    <w:p>
      <w:pPr>
        <w:pStyle w:val="ListBullet"/>
      </w:pPr>
      <w:r>
        <w:t>Gedruckte Modelle</w:t>
      </w:r>
    </w:p>
    <w:p>
      <w:pPr>
        <w:pStyle w:val="ListBullet"/>
      </w:pPr>
      <w:r>
        <w:t>Vergleichsblätter</w:t>
      </w:r>
    </w:p>
    <w:p>
      <w:pPr>
        <w:pStyle w:val="Heading1"/>
      </w:pPr>
      <w:r>
        <w:t>Common Misconceptions</w:t>
      </w:r>
    </w:p>
    <w:p>
      <w:pPr>
        <w:pStyle w:val="Heading2"/>
      </w:pPr>
      <w:r>
        <w:t>Misconception 1</w:t>
      </w:r>
    </w:p>
    <w:p>
      <w:pPr>
        <w:pStyle w:val="Heading3"/>
      </w:pPr>
      <w:r>
        <w:t>Statement</w:t>
      </w:r>
    </w:p>
    <w:p>
      <w:r>
        <w:t>Ein visuell akzeptables Modell ist immer druckbar.</w:t>
      </w:r>
    </w:p>
    <w:p>
      <w:pPr>
        <w:pStyle w:val="Heading3"/>
      </w:pPr>
      <w:r>
        <w:t>Correction</w:t>
      </w:r>
    </w:p>
    <w:p>
      <w:r>
        <w:t>Nicht alle visuell akzeptablen Modelle erfüllen die technischen Anforderungen für den 3D-Druck. Parameter wie Dichtigkeit und Wandstärke sind entscheidend.</w:t>
      </w:r>
    </w:p>
    <w:p>
      <w:pPr>
        <w:pStyle w:val="Heading2"/>
      </w:pPr>
      <w:r>
        <w:t>Misconception 2</w:t>
      </w:r>
    </w:p>
    <w:p>
      <w:pPr>
        <w:pStyle w:val="Heading3"/>
      </w:pPr>
      <w:r>
        <w:t>Statement</w:t>
      </w:r>
    </w:p>
    <w:p>
      <w:r>
        <w:t>Die AI-Tiefenschätzung misst die Tiefe genau.</w:t>
      </w:r>
    </w:p>
    <w:p>
      <w:pPr>
        <w:pStyle w:val="Heading3"/>
      </w:pPr>
      <w:r>
        <w:t>Correction</w:t>
      </w:r>
    </w:p>
    <w:p>
      <w:r>
        <w:t>Die AI-Tiefenschätzung ist eine Schätzung mit Unsicherheiten und sollte nicht mit direkten Messungen gleichgesetzt werden.</w:t>
      </w:r>
    </w:p>
    <w:p>
      <w:pPr>
        <w:pStyle w:val="Heading1"/>
      </w:pPr>
      <w:r>
        <w:t>Differentiation Strategies</w:t>
      </w:r>
    </w:p>
    <w:p>
      <w:pPr>
        <w:pStyle w:val="Heading2"/>
      </w:pPr>
      <w:r>
        <w:t>Supports</w:t>
      </w:r>
    </w:p>
    <w:p>
      <w:pPr>
        <w:pStyle w:val="ListBullet"/>
      </w:pPr>
      <w:r>
        <w:t>Bereitstellung von zusätzlichen Ressourcen und Tutorials für Schüler mit Schwierigkeiten.</w:t>
      </w:r>
    </w:p>
    <w:p>
      <w:pPr>
        <w:pStyle w:val="ListBullet"/>
      </w:pPr>
      <w:r>
        <w:t>Bildung von heterogenen Gruppen zur Förderung des Lernens voneinander.</w:t>
      </w:r>
    </w:p>
    <w:p>
      <w:pPr>
        <w:pStyle w:val="Heading2"/>
      </w:pPr>
      <w:r>
        <w:t>Extensions</w:t>
      </w:r>
    </w:p>
    <w:p>
      <w:pPr>
        <w:pStyle w:val="ListBullet"/>
      </w:pPr>
      <w:r>
        <w:t>Ermutigung von fortgeschrittenen Schülern, komplexere Modelle zu scannen und zu modifizieren.</w:t>
      </w:r>
    </w:p>
    <w:p>
      <w:pPr>
        <w:pStyle w:val="ListBullet"/>
      </w:pPr>
      <w:r>
        <w:t>Einführung in zusätzliche Softwaretools zur Modellbearbeitung.</w:t>
      </w:r>
    </w:p>
    <w:p>
      <w:pPr>
        <w:pStyle w:val="Heading1"/>
      </w:pPr>
      <w:r>
        <w:t>Formative Assessment Suggestions</w:t>
      </w:r>
    </w:p>
    <w:p>
      <w:pPr>
        <w:pStyle w:val="ListBullet"/>
      </w:pPr>
      <w:r>
        <w:t>Beobachtungen während praktischer Übungen zur Bewertung der Anwendung von Konzepten.</w:t>
      </w:r>
    </w:p>
    <w:p>
      <w:pPr>
        <w:pStyle w:val="ListBullet"/>
      </w:pPr>
      <w:r>
        <w:t>Kurze Reflexionen oder Journaleingaben nach jeder Sitzung, um das Verständnis zu überprüfen.</w:t>
      </w:r>
    </w:p>
    <w:p>
      <w:pPr>
        <w:pStyle w:val="ListBullet"/>
      </w:pPr>
      <w:r>
        <w:t>Peer-Feedback zu Modellen und deren Druckbarkeit.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