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Id</w:t>
      </w:r>
    </w:p>
    <w:p>
      <w:r>
        <w:t>module_18</w:t>
      </w:r>
    </w:p>
    <w:p>
      <w:pPr>
        <w:pStyle w:val="Heading1"/>
      </w:pPr>
      <w:r>
        <w:t>Title</w:t>
      </w:r>
    </w:p>
    <w:p>
      <w:r>
        <w:t>3D Dateiformate</w:t>
      </w:r>
    </w:p>
    <w:p>
      <w:pPr>
        <w:pStyle w:val="Heading1"/>
      </w:pPr>
      <w:r>
        <w:t>Unit</w:t>
      </w:r>
    </w:p>
    <w:p>
      <w:r>
        <w:t>Aufbau des digitalen Zwillings</w:t>
      </w:r>
    </w:p>
    <w:p>
      <w:pPr>
        <w:pStyle w:val="Heading1"/>
      </w:pPr>
      <w:r>
        <w:t>Drivingquestion</w:t>
      </w:r>
    </w:p>
    <w:p>
      <w:r>
        <w:t>Warum verwenden Ingenieure verschiedene 3D-Dateiformate für Geometrie, Farbe, Fertigung und Austausch?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Modellieren der Informationsanforderungen</w:t>
      </w:r>
    </w:p>
    <w:p>
      <w:pPr>
        <w:pStyle w:val="ListBullet"/>
      </w:pPr>
      <w:r>
        <w:t>Datenmodell für Dateiformate</w:t>
      </w:r>
    </w:p>
    <w:p>
      <w:pPr>
        <w:pStyle w:val="ListBullet"/>
      </w:pPr>
      <w:r>
        <w:t>Geometrie und Attribute kodieren</w:t>
      </w:r>
    </w:p>
    <w:p>
      <w:pPr>
        <w:pStyle w:val="ListBullet"/>
      </w:pPr>
      <w:r>
        <w:t>Speichern und austauschen</w:t>
      </w:r>
    </w:p>
    <w:p>
      <w:pPr>
        <w:pStyle w:val="ListBullet"/>
      </w:pPr>
      <w:r>
        <w:t>In einem anderen Werkzeug interpretieren</w:t>
      </w:r>
    </w:p>
    <w:p>
      <w:pPr>
        <w:pStyle w:val="ListBullet"/>
      </w:pPr>
      <w:r>
        <w:t>Überprüfen auf Informationsverlust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lo_18_01</w:t>
      </w:r>
    </w:p>
    <w:p>
      <w:pPr>
        <w:pStyle w:val="Heading3"/>
      </w:pPr>
      <w:r>
        <w:t>Description</w:t>
      </w:r>
    </w:p>
    <w:p>
      <w:r>
        <w:t>Vergleichen der Informationen, die von gängigen 3D-Formaten wie STL, OBJ, PLY und glTF gespeichert werden. (analysieren)</w:t>
      </w:r>
    </w:p>
    <w:p>
      <w:pPr>
        <w:pStyle w:val="Heading2"/>
      </w:pPr>
      <w:r>
        <w:t>lo_18_02</w:t>
      </w:r>
    </w:p>
    <w:p>
      <w:pPr>
        <w:pStyle w:val="Heading3"/>
      </w:pPr>
      <w:r>
        <w:t>Description</w:t>
      </w:r>
    </w:p>
    <w:p>
      <w:r>
        <w:t>Zuweisen eines Dateiformats zu einer Visualisierungs-, Analyse- oder Fertigungsanforderung. (anwenden)</w:t>
      </w:r>
    </w:p>
    <w:p>
      <w:pPr>
        <w:pStyle w:val="Heading2"/>
      </w:pPr>
      <w:r>
        <w:t>lo_18_03</w:t>
      </w:r>
    </w:p>
    <w:p>
      <w:pPr>
        <w:pStyle w:val="Heading3"/>
      </w:pPr>
      <w:r>
        <w:t>Description</w:t>
      </w:r>
    </w:p>
    <w:p>
      <w:r>
        <w:t>Erklären, wie die Konvertierung Einheiten, Farbe, Topologie, Metadaten oder Präzision verwerfen kann. (verstehen)</w:t>
      </w:r>
    </w:p>
    <w:p>
      <w:pPr>
        <w:pStyle w:val="Heading2"/>
      </w:pPr>
      <w:r>
        <w:t>lo_18_04</w:t>
      </w:r>
    </w:p>
    <w:p>
      <w:pPr>
        <w:pStyle w:val="Heading3"/>
      </w:pPr>
      <w:r>
        <w:t>Description</w:t>
      </w:r>
    </w:p>
    <w:p>
      <w:r>
        <w:t>Untersuchen des Inhalts einfacher textbasierter 3D-Dateien und Identifizieren von Schlüssestrukturen. (anwenden)</w:t>
      </w:r>
    </w:p>
    <w:p>
      <w:pPr>
        <w:pStyle w:val="Heading2"/>
      </w:pPr>
      <w:r>
        <w:t>lo_18_05</w:t>
      </w:r>
    </w:p>
    <w:p>
      <w:pPr>
        <w:pStyle w:val="Heading3"/>
      </w:pPr>
      <w:r>
        <w:t>Description</w:t>
      </w:r>
    </w:p>
    <w:p>
      <w:r>
        <w:t>Entwickeln eines Austauschplans, der erforderliche Informationen bewahrt. (erstellen)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Zweck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Zentralefrage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Umfangdescurriculums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Ascandalslaborinstrument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Technicalaccuracyrules</w:t>
      </w:r>
    </w:p>
    <w:p>
      <w:pPr>
        <w:pStyle w:val="Heading2"/>
      </w:pPr>
      <w:r>
        <w:t>Kritischeunterscheidungen</w:t>
      </w:r>
    </w:p>
    <w:p>
      <w:pPr>
        <w:pStyle w:val="Heading3"/>
      </w:pPr>
      <w:r>
        <w:t>Ascandsensingtechnology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Nonlaserworkflowcomponents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Laserworkflow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Erforderlicheterminologiepräzision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Verbotenebehauptungen</w:t>
      </w:r>
    </w:p>
    <w:p>
      <w:pPr>
        <w:pStyle w:val="ListBullet"/>
      </w:pPr>
      <w:r>
        <w:t>Behaupten Sie nicht, dass die Ergebnisse von ASCAND 'perfekt' oder 'genau'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