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Id</w:t>
      </w:r>
    </w:p>
    <w:p>
      <w:r>
        <w:t>module_20</w:t>
      </w:r>
    </w:p>
    <w:p>
      <w:pPr>
        <w:pStyle w:val="Heading1"/>
      </w:pPr>
      <w:r>
        <w:t>Title</w:t>
      </w:r>
    </w:p>
    <w:p>
      <w:r>
        <w:t>Genauigkeit, Präzision und Toleranz</w:t>
      </w:r>
    </w:p>
    <w:p>
      <w:pPr>
        <w:pStyle w:val="Heading1"/>
      </w:pPr>
      <w:r>
        <w:t>Unit</w:t>
      </w:r>
    </w:p>
    <w:p>
      <w:r>
        <w:t>Ingenieurwesen</w:t>
      </w:r>
    </w:p>
    <w:p>
      <w:pPr>
        <w:pStyle w:val="Heading1"/>
      </w:pPr>
      <w:r>
        <w:t>Drivingquestion</w:t>
      </w:r>
    </w:p>
    <w:p>
      <w:r>
        <w:t>Wie können Ingenieure entscheiden, ob ein digitales Modell dem physischen Objekt für den beabsichtigten Zweck ausreichend nahe kommt?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Referenz und Anforderungen definieren</w:t>
      </w:r>
    </w:p>
    <w:p>
      <w:pPr>
        <w:pStyle w:val="ListBullet"/>
      </w:pPr>
      <w:r>
        <w:t>Wiederholte Messungen oder Scans durchführen</w:t>
      </w:r>
    </w:p>
    <w:p>
      <w:pPr>
        <w:pStyle w:val="ListBullet"/>
      </w:pPr>
      <w:r>
        <w:t>Differenzen berechnen</w:t>
      </w:r>
    </w:p>
    <w:p>
      <w:pPr>
        <w:pStyle w:val="ListBullet"/>
      </w:pPr>
      <w:r>
        <w:t>Genauigkeit und Präzision trennen</w:t>
      </w:r>
    </w:p>
    <w:p>
      <w:pPr>
        <w:pStyle w:val="ListBullet"/>
      </w:pPr>
      <w:r>
        <w:t>Mit Toleranz vergleichen</w:t>
      </w:r>
    </w:p>
    <w:p>
      <w:pPr>
        <w:pStyle w:val="ListBullet"/>
      </w:pPr>
      <w:r>
        <w:t>Entscheidung über die Akzeptanz treffen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 20 01</w:t>
      </w:r>
    </w:p>
    <w:p>
      <w:r>
        <w:t>Genauigkeit, Präzision, Auflösung, Wiederholbarkeit, Unsicherheit und Toleranz unterscheiden. (analysieren)</w:t>
      </w:r>
    </w:p>
    <w:p>
      <w:pPr>
        <w:pStyle w:val="Heading2"/>
      </w:pPr>
      <w:r>
        <w:t>Lo 20 02</w:t>
      </w:r>
    </w:p>
    <w:p>
      <w:r>
        <w:t>Wiederholte Messungen sammeln und absolute sowie relative Fehler berechnen. (anwenden)</w:t>
      </w:r>
    </w:p>
    <w:p>
      <w:pPr>
        <w:pStyle w:val="Heading2"/>
      </w:pPr>
      <w:r>
        <w:t>Lo 20 03</w:t>
      </w:r>
    </w:p>
    <w:p>
      <w:r>
        <w:t>Wiederholte Versuche nutzen, um Variation und Wiederholbarkeit zu beschreiben. (analysieren)</w:t>
      </w:r>
    </w:p>
    <w:p>
      <w:pPr>
        <w:pStyle w:val="Heading2"/>
      </w:pPr>
      <w:r>
        <w:t>Lo 20 04</w:t>
      </w:r>
    </w:p>
    <w:p>
      <w:r>
        <w:t>Beobachteten Fehler mit einer anwendungsspezifischen Toleranz vergleichen. (bewerten)</w:t>
      </w:r>
    </w:p>
    <w:p>
      <w:pPr>
        <w:pStyle w:val="Heading2"/>
      </w:pPr>
      <w:r>
        <w:t>Lo 20 05</w:t>
      </w:r>
    </w:p>
    <w:p>
      <w:r>
        <w:t>Messresultate mit Einheiten, Methode und Einschränkungen kommunizieren. (erstellen)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Ascandaslaborinstrument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Technicalaccuracyrules</w:t>
      </w:r>
    </w:p>
    <w:p>
      <w:pPr>
        <w:pStyle w:val="Heading2"/>
      </w:pPr>
      <w:r>
        <w:t>Criticaldistinctions</w:t>
      </w:r>
    </w:p>
    <w:p>
      <w:pPr>
        <w:pStyle w:val="Heading3"/>
      </w:pPr>
      <w:r>
        <w:t>Ascandsensingtechnology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Nonlaserworkflowcomponents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Laserworkflow</w:t>
      </w:r>
    </w:p>
    <w:p>
      <w:r>
        <w:t>Wenn der Lasermodus verwendet wird, liefert Lasertriangulation hochpräzise Formdaten. Dies ist eine optionale Verbesserung, nicht der primäre Workflow.</w:t>
      </w:r>
    </w:p>
    <w:p>
      <w:pPr>
        <w:pStyle w:val="Heading2"/>
      </w:pPr>
      <w:r>
        <w:t>Requiredterminologyprecision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Prohibitedclaims</w:t>
      </w:r>
    </w:p>
    <w:p>
      <w:pPr>
        <w:pStyle w:val="ListBullet"/>
      </w:pPr>
      <w:r>
        <w:t>Behaupten Sie nicht, dass die Ergebnisse von ASCAND 'perfekt' oder 'genau' sind</w:t>
      </w:r>
    </w:p>
    <w:p>
      <w:pPr>
        <w:pStyle w:val="ListBullet"/>
      </w:pPr>
      <w:r>
        <w:t>Setzen Sie AI-Schätzungen nicht mit direkten physikalischen Messungen gleich</w:t>
      </w:r>
    </w:p>
    <w:p>
      <w:pPr>
        <w:pStyle w:val="ListBullet"/>
      </w:pPr>
      <w:r>
        <w:t>Beschreiben Sie ASCAND nicht mit konkurrierenden Sensoransätzen</w:t>
      </w:r>
    </w:p>
    <w:p>
      <w:pPr>
        <w:pStyle w:val="ListBullet"/>
      </w:pPr>
      <w:r>
        <w:t>Verwechseln Sie strukturiertes Licht nicht mit anderen Rekonstruktionstechniken</w:t>
      </w:r>
    </w:p>
    <w:p>
      <w:pPr>
        <w:pStyle w:val="ListBullet"/>
      </w:pPr>
      <w:r>
        <w:t>Verwechseln Sie Lasertriangulation nicht mit AI-Tiefenschätzung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