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Terminology Usage</w:t>
      </w:r>
    </w:p>
    <w:p>
      <w:r>
        <w:t>Consistent: True</w:t>
      </w:r>
    </w:p>
    <w:p>
      <w:pPr>
        <w:pStyle w:val="Heading1"/>
      </w:pPr>
      <w:r>
        <w:t>Learning Objective Alignment</w:t>
      </w:r>
    </w:p>
    <w:p>
      <w:r>
        <w:t>Consistent: True</w:t>
      </w:r>
    </w:p>
    <w:p>
      <w:pPr>
        <w:pStyle w:val="Heading1"/>
      </w:pPr>
      <w:r>
        <w:t>Session Structure Alignment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Issue</w:t>
      </w:r>
    </w:p>
    <w:p>
      <w:r>
        <w:t>Session structure includes an introductory video while Artifact B has a hands-on activity first.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Issue</w:t>
      </w:r>
    </w:p>
    <w:p>
      <w:r>
        <w:t>Artifact C lacks a clear summary session, which is present in both Artifact A and B.</w:t>
      </w:r>
    </w:p>
    <w:p>
      <w:pPr>
        <w:pStyle w:val="Heading1"/>
      </w:pPr>
      <w:r>
        <w:t>Assessment To Objective Alignment</w:t>
      </w:r>
    </w:p>
    <w:p>
      <w:r>
        <w:t>Consistent: True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