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Module Overview</w:t>
      </w:r>
    </w:p>
    <w:p>
      <w:r>
        <w:t>In diesem Modul "Roboter, die sehen können" lernen die Schüler, wie Roboter Wahrnehmung nutzen, um Objekte zu lokalisieren, den Raum zu verstehen und Entscheidungen zu treffen. Durch praktische Experimente mit dem ASCAND-Instrument erwerben die Schüler Kenntnisse über die Wahrnehmungs-Aktions-Schleife, die Rolle von Tiefeninformationen und Punktwolken sowie die Bedeutung der Sensorfusion in der Robotik. Dieses Modul fördert kritisches Denken und Problemlösungsfähigkeiten und ermöglicht den Schülern, eigene Wahrnehmungsstrategien zu entwickeln und deren Sicherheit und Zuverlässigkeit zu bewerten.</w:t>
      </w:r>
    </w:p>
    <w:p>
      <w:pPr>
        <w:pStyle w:val="Heading1"/>
      </w:pPr>
      <w:r>
        <w:t>Background Content</w:t>
      </w:r>
    </w:p>
    <w:p>
      <w:pPr>
        <w:pStyle w:val="Heading2"/>
      </w:pPr>
      <w:r>
        <w:t>Technical Depth</w:t>
      </w:r>
    </w:p>
    <w:p>
      <w:r>
        <w:t>ASCAND verwendet strukturierte optische Projektion in Kombination mit AI-gestützter Analyse und Sensorfusion, um präzise Tiefeninformationen zu erfassen. Die Verwendung von Gray Code ermöglicht eine eindeutige Positionskodierung, während die AI-Tiefenschätzung aus den erfassten Bilddaten Annäherungen an die Tiefe liefert. Es ist wichtig, zwischen direkten Messungen, die mit kalibrierten Instrumenten erfolgen, und den durch AI geschätzten Werten zu unterscheiden, die mit Unsicherheiten behaftet sind. Lehrer sollten sich bewusst sein, dass Fehler und Unsicherheiten in den Daten als Lernmöglichkeiten betrachtet werden und dass Schüler ermutigt werden sollten, diese Aspekte zu analysieren und zu diskutieren.</w:t>
      </w:r>
    </w:p>
    <w:p>
      <w:pPr>
        <w:pStyle w:val="Heading1"/>
      </w:pPr>
      <w:r>
        <w:t>Session Plans</w:t>
      </w:r>
    </w:p>
    <w:p>
      <w:pPr>
        <w:pStyle w:val="Heading3"/>
      </w:pPr>
      <w:r>
        <w:t>Session Title</w:t>
      </w:r>
    </w:p>
    <w:p>
      <w:r>
        <w:t>Einführung in die Robotik und Wahrnehmung</w:t>
      </w:r>
    </w:p>
    <w:p>
      <w:pPr>
        <w:pStyle w:val="Heading3"/>
      </w:pPr>
      <w:r>
        <w:t>Objectives</w:t>
      </w:r>
    </w:p>
    <w:p>
      <w:pPr>
        <w:pStyle w:val="ListBullet"/>
      </w:pPr>
      <w:r>
        <w:t>Die Wahrnehmungs-Aktions-Schleife beschreiben.</w:t>
      </w:r>
    </w:p>
    <w:p>
      <w:pPr>
        <w:pStyle w:val="ListBullet"/>
      </w:pPr>
      <w:r>
        <w:t>Die Rolle der Robotik in der modernen Technologie diskutieren.</w:t>
      </w:r>
    </w:p>
    <w:p>
      <w:pPr>
        <w:pStyle w:val="Heading3"/>
      </w:pPr>
      <w:r>
        <w:t>Activities</w:t>
      </w:r>
    </w:p>
    <w:p>
      <w:pPr>
        <w:pStyle w:val="ListBullet"/>
      </w:pPr>
      <w:r>
        <w:t>Diskussion über Roboter und ihre Anwendungen.</w:t>
      </w:r>
    </w:p>
    <w:p>
      <w:pPr>
        <w:pStyle w:val="ListBullet"/>
      </w:pPr>
      <w:r>
        <w:t>Einführung in die grundlegenden Konzepte der Wahrnehmung und Aktionsschleifen.</w:t>
      </w:r>
    </w:p>
    <w:p>
      <w:pPr>
        <w:pStyle w:val="Heading3"/>
      </w:pPr>
      <w:r>
        <w:t>Assessment</w:t>
      </w:r>
    </w:p>
    <w:p>
      <w:r>
        <w:t>Kurzes Quiz zur Überprüfung des Verständnisses der Wahrnehmungs-Aktions-Schleife.</w:t>
      </w:r>
    </w:p>
    <w:p>
      <w:pPr>
        <w:pStyle w:val="Heading3"/>
      </w:pPr>
      <w:r>
        <w:t>Session Title</w:t>
      </w:r>
    </w:p>
    <w:p>
      <w:r>
        <w:t>Strukturierte optische Projektion und Gray Code</w:t>
      </w:r>
    </w:p>
    <w:p>
      <w:pPr>
        <w:pStyle w:val="Heading3"/>
      </w:pPr>
      <w:r>
        <w:t>Objectives</w:t>
      </w:r>
    </w:p>
    <w:p>
      <w:pPr>
        <w:pStyle w:val="ListBullet"/>
      </w:pPr>
      <w:r>
        <w:t>Gray Code erklären und seine Rolle in der strukturierten Lichtprojektion verstehen.</w:t>
      </w:r>
    </w:p>
    <w:p>
      <w:pPr>
        <w:pStyle w:val="ListBullet"/>
      </w:pPr>
      <w:r>
        <w:t>Die Unterschiede zwischen Gray Code und anderen Mustern erläutern.</w:t>
      </w:r>
    </w:p>
    <w:p>
      <w:pPr>
        <w:pStyle w:val="Heading3"/>
      </w:pPr>
      <w:r>
        <w:t>Activities</w:t>
      </w:r>
    </w:p>
    <w:p>
      <w:pPr>
        <w:pStyle w:val="ListBullet"/>
      </w:pPr>
      <w:r>
        <w:t>Vorführung von ASCAND und der Gray Code Projektion.</w:t>
      </w:r>
    </w:p>
    <w:p>
      <w:pPr>
        <w:pStyle w:val="ListBullet"/>
      </w:pPr>
      <w:r>
        <w:t>Gruppenaktivität: Vergleich von verschiedenen Kodierungsmethoden.</w:t>
      </w:r>
    </w:p>
    <w:p>
      <w:pPr>
        <w:pStyle w:val="Heading3"/>
      </w:pPr>
      <w:r>
        <w:t>Assessment</w:t>
      </w:r>
    </w:p>
    <w:p>
      <w:r>
        <w:t>Erstellung eines Diagramms, das den Unterschied zwischen Gray Code und anderen Mustern darstellt.</w:t>
      </w:r>
    </w:p>
    <w:p>
      <w:pPr>
        <w:pStyle w:val="Heading3"/>
      </w:pPr>
      <w:r>
        <w:t>Session Title</w:t>
      </w:r>
    </w:p>
    <w:p>
      <w:r>
        <w:t>Tiefenschätzung und Sensorfusion</w:t>
      </w:r>
    </w:p>
    <w:p>
      <w:pPr>
        <w:pStyle w:val="Heading3"/>
      </w:pPr>
      <w:r>
        <w:t>Objectives</w:t>
      </w:r>
    </w:p>
    <w:p>
      <w:pPr>
        <w:pStyle w:val="ListBullet"/>
      </w:pPr>
      <w:r>
        <w:t>Die Konzepte der Tiefenschätzung und Sensorfusion beschreiben.</w:t>
      </w:r>
    </w:p>
    <w:p>
      <w:pPr>
        <w:pStyle w:val="ListBullet"/>
      </w:pPr>
      <w:r>
        <w:t>Die Bedeutung von Punktwolken in der Robotik erkennen.</w:t>
      </w:r>
    </w:p>
    <w:p>
      <w:pPr>
        <w:pStyle w:val="Heading3"/>
      </w:pPr>
      <w:r>
        <w:t>Activities</w:t>
      </w:r>
    </w:p>
    <w:p>
      <w:pPr>
        <w:pStyle w:val="ListBullet"/>
      </w:pPr>
      <w:r>
        <w:t>Praktische Übungen mit ASCAND zur Erfassung von Punktwolken.</w:t>
      </w:r>
    </w:p>
    <w:p>
      <w:pPr>
        <w:pStyle w:val="ListBullet"/>
      </w:pPr>
      <w:r>
        <w:t>Diskussion über die Rolle der Sensorfusion in der Robotik.</w:t>
      </w:r>
    </w:p>
    <w:p>
      <w:pPr>
        <w:pStyle w:val="Heading3"/>
      </w:pPr>
      <w:r>
        <w:t>Assessment</w:t>
      </w:r>
    </w:p>
    <w:p>
      <w:r>
        <w:t>Reflexion über die Übungen in einem kurzen schriftlichen Bericht.</w:t>
      </w:r>
    </w:p>
    <w:p>
      <w:pPr>
        <w:pStyle w:val="Heading3"/>
      </w:pPr>
      <w:r>
        <w:t>Session Title</w:t>
      </w:r>
    </w:p>
    <w:p>
      <w:r>
        <w:t>Fehleranalyse in der Robotik</w:t>
      </w:r>
    </w:p>
    <w:p>
      <w:pPr>
        <w:pStyle w:val="Heading3"/>
      </w:pPr>
      <w:r>
        <w:t>Objectives</w:t>
      </w:r>
    </w:p>
    <w:p>
      <w:pPr>
        <w:pStyle w:val="ListBullet"/>
      </w:pPr>
      <w:r>
        <w:t>Wahrnehmungsfehler identifizieren und deren Auswirkungen auf Entscheidungen analysieren.</w:t>
      </w:r>
    </w:p>
    <w:p>
      <w:pPr>
        <w:pStyle w:val="ListBullet"/>
      </w:pPr>
      <w:r>
        <w:t>Diskussion über Unsicherheiten in den Messdaten.</w:t>
      </w:r>
    </w:p>
    <w:p>
      <w:pPr>
        <w:pStyle w:val="Heading3"/>
      </w:pPr>
      <w:r>
        <w:t>Activities</w:t>
      </w:r>
    </w:p>
    <w:p>
      <w:pPr>
        <w:pStyle w:val="ListBullet"/>
      </w:pPr>
      <w:r>
        <w:t>Fallstudienanalyse von Robotern, die aufgrund von Wahrnehmungsfehlern versagt haben.</w:t>
      </w:r>
    </w:p>
    <w:p>
      <w:pPr>
        <w:pStyle w:val="ListBullet"/>
      </w:pPr>
      <w:r>
        <w:t>Gruppendiskussion über mögliche Lösungen.</w:t>
      </w:r>
    </w:p>
    <w:p>
      <w:pPr>
        <w:pStyle w:val="Heading3"/>
      </w:pPr>
      <w:r>
        <w:t>Assessment</w:t>
      </w:r>
    </w:p>
    <w:p>
      <w:r>
        <w:t>Präsentation der Fallstudienanalysen und der vorgeschlagenen Lösungen.</w:t>
      </w:r>
    </w:p>
    <w:p>
      <w:pPr>
        <w:pStyle w:val="Heading3"/>
      </w:pPr>
      <w:r>
        <w:t>Session Title</w:t>
      </w:r>
    </w:p>
    <w:p>
      <w:r>
        <w:t>Entwicklung einer Wahrnehmungsstrategie</w:t>
      </w:r>
    </w:p>
    <w:p>
      <w:pPr>
        <w:pStyle w:val="Heading3"/>
      </w:pPr>
      <w:r>
        <w:t>Objectives</w:t>
      </w:r>
    </w:p>
    <w:p>
      <w:pPr>
        <w:pStyle w:val="ListBullet"/>
      </w:pPr>
      <w:r>
        <w:t>Eine einfache Wahrnehmungsstrategie für ein Klassenzimmerszenario entwerfen.</w:t>
      </w:r>
    </w:p>
    <w:p>
      <w:pPr>
        <w:pStyle w:val="ListBullet"/>
      </w:pPr>
      <w:r>
        <w:t>Sicherheits- und Zuverlässigkeitsanforderungen bewerten.</w:t>
      </w:r>
    </w:p>
    <w:p>
      <w:pPr>
        <w:pStyle w:val="Heading3"/>
      </w:pPr>
      <w:r>
        <w:t>Activities</w:t>
      </w:r>
    </w:p>
    <w:p>
      <w:pPr>
        <w:pStyle w:val="ListBullet"/>
      </w:pPr>
      <w:r>
        <w:t>Gruppenarbeit zur Entwicklung von Strategien für den Einsatz von ASCAND im Klassenzimmer.</w:t>
      </w:r>
    </w:p>
    <w:p>
      <w:pPr>
        <w:pStyle w:val="ListBullet"/>
      </w:pPr>
      <w:r>
        <w:t>Präsentation der Strategien und Feedbackrunde.</w:t>
      </w:r>
    </w:p>
    <w:p>
      <w:pPr>
        <w:pStyle w:val="Heading3"/>
      </w:pPr>
      <w:r>
        <w:t>Assessment</w:t>
      </w:r>
    </w:p>
    <w:p>
      <w:r>
        <w:t>Bewertung der Strategien anhand von Sicherheits- und Zuverlässigkeitskriterien.</w:t>
      </w:r>
    </w:p>
    <w:p>
      <w:pPr>
        <w:pStyle w:val="Heading1"/>
      </w:pPr>
      <w:r>
        <w:t>Common Misconceptions</w:t>
      </w:r>
    </w:p>
    <w:p>
      <w:pPr>
        <w:pStyle w:val="Heading2"/>
      </w:pPr>
      <w:r>
        <w:t>Misconceptions</w:t>
      </w:r>
    </w:p>
    <w:p>
      <w:pPr>
        <w:pStyle w:val="Heading4"/>
      </w:pPr>
      <w:r>
        <w:t>Misconception</w:t>
      </w:r>
    </w:p>
    <w:p>
      <w:r>
        <w:t>ASCAND misst die Tiefe mit Lasern.</w:t>
      </w:r>
    </w:p>
    <w:p>
      <w:pPr>
        <w:pStyle w:val="Heading4"/>
      </w:pPr>
      <w:r>
        <w:t>Correction</w:t>
      </w:r>
    </w:p>
    <w:p>
      <w:r>
        <w:t>ASCAND verwendet strukturierte optische Projektion und AI-Tiefenschätzung, nicht Laser.</w:t>
      </w:r>
    </w:p>
    <w:p>
      <w:pPr>
        <w:pStyle w:val="Heading4"/>
      </w:pPr>
      <w:r>
        <w:t>Misconception</w:t>
      </w:r>
    </w:p>
    <w:p>
      <w:r>
        <w:t>Gray Code ist dasselbe wie ein einfaches Streifenmuster.</w:t>
      </w:r>
    </w:p>
    <w:p>
      <w:pPr>
        <w:pStyle w:val="Heading4"/>
      </w:pPr>
      <w:r>
        <w:t>Correction</w:t>
      </w:r>
    </w:p>
    <w:p>
      <w:r>
        <w:t>Gray Code codiert Positionen eindeutig, während einfache Streifen keine solchen Informationen liefern.</w:t>
      </w:r>
    </w:p>
    <w:p>
      <w:pPr>
        <w:pStyle w:val="Heading4"/>
      </w:pPr>
      <w:r>
        <w:t>Misconception</w:t>
      </w:r>
    </w:p>
    <w:p>
      <w:r>
        <w:t>Punktwolken sind dasselbe wie Meshes.</w:t>
      </w:r>
    </w:p>
    <w:p>
      <w:pPr>
        <w:pStyle w:val="Heading4"/>
      </w:pPr>
      <w:r>
        <w:t>Correction</w:t>
      </w:r>
    </w:p>
    <w:p>
      <w:r>
        <w:t>Punktwolken sind eine Sammlung von 3D-Datenpunkten, während ein Mesh eine Verbindung dieser Punkte darstellt.</w:t>
      </w:r>
    </w:p>
    <w:p>
      <w:pPr>
        <w:pStyle w:val="Heading1"/>
      </w:pPr>
      <w:r>
        <w:t>Differentiation Strategies</w:t>
      </w:r>
    </w:p>
    <w:p>
      <w:pPr>
        <w:pStyle w:val="Heading2"/>
      </w:pPr>
      <w:r>
        <w:t>Supports</w:t>
      </w:r>
    </w:p>
    <w:p>
      <w:pPr>
        <w:pStyle w:val="ListBullet"/>
      </w:pPr>
      <w:r>
        <w:t>Anbieten von zusätzlichen Ressourcen für Schüler, die Schwierigkeiten mit den Konzepten haben.</w:t>
      </w:r>
    </w:p>
    <w:p>
      <w:pPr>
        <w:pStyle w:val="ListBullet"/>
      </w:pPr>
      <w:r>
        <w:t>Gruppenarbeiten bilden, um stärkere Schüler mit schwächeren zu kombinieren.</w:t>
      </w:r>
    </w:p>
    <w:p>
      <w:pPr>
        <w:pStyle w:val="Heading2"/>
      </w:pPr>
      <w:r>
        <w:t>Extensions</w:t>
      </w:r>
    </w:p>
    <w:p>
      <w:pPr>
        <w:pStyle w:val="ListBullet"/>
      </w:pPr>
      <w:r>
        <w:t>Ermutigung von fortgeschrittenen Schülern, komplexere Wahrnehmungsstrategien zu entwickeln.</w:t>
      </w:r>
    </w:p>
    <w:p>
      <w:pPr>
        <w:pStyle w:val="ListBullet"/>
      </w:pPr>
      <w:r>
        <w:t>Möglichkeiten zur Anwendung der Konzepte in realen Robotikprojekten anbieten.</w:t>
      </w:r>
    </w:p>
    <w:p>
      <w:pPr>
        <w:pStyle w:val="Heading1"/>
      </w:pPr>
      <w:r>
        <w:t>Formative Assessment Suggestions</w:t>
      </w:r>
    </w:p>
    <w:p>
      <w:pPr>
        <w:pStyle w:val="ListBullet"/>
      </w:pPr>
      <w:r>
        <w:t>Regelmäßige Reflexionen nach jeder Sitzung zur Überprüfung des Verständnisses.</w:t>
      </w:r>
    </w:p>
    <w:p>
      <w:pPr>
        <w:pStyle w:val="ListBullet"/>
      </w:pPr>
      <w:r>
        <w:t>Peer-Feedback zu Gruppenarbeiten und Präsentationen.</w:t>
      </w:r>
    </w:p>
    <w:p>
      <w:pPr>
        <w:pStyle w:val="ListBullet"/>
      </w:pPr>
      <w:r>
        <w:t>Kurze Quizzes zur Überprüfung des Verständnisses der Kernkonzepte.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