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Laboranleitung: Digitale Erhaltung in Museen mit ASCAND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Introduction</w:t>
      </w:r>
    </w:p>
    <w:p>
      <w:r>
        <w:t>In dieser Laboranleitung lernen die Schüler, wie man mit dem ASCAND-System digitale Erhaltungsmaßnahmen für museale Objekte durchführt. ASCAND nutzt strukturierte Lichtprojektion, KI-basierte Analyse und Sensorfusion, um präzise digitale Zwillinge von Artefakten zu erstellen. Diese Anleitung führt durch die Schritte der Einrichtung, des Betriebs, der Datenerfassung, der Analyse und der Reinigung.</w:t>
      </w:r>
    </w:p>
    <w:p>
      <w:pPr>
        <w:pStyle w:val="Heading1"/>
      </w:pPr>
      <w:r>
        <w:t>Setup</w:t>
      </w:r>
    </w:p>
    <w:p>
      <w:pPr>
        <w:pStyle w:val="Heading2"/>
      </w:pPr>
      <w:r>
        <w:t>Step 1</w:t>
      </w:r>
    </w:p>
    <w:p>
      <w:pPr>
        <w:pStyle w:val="Heading3"/>
      </w:pPr>
      <w:r>
        <w:t>Description</w:t>
      </w:r>
    </w:p>
    <w:p>
      <w:r>
        <w:t>Stellen Sie sicher, dass der ASCAND-Scanner in einem gut beleuchteten Raum aufgestellt ist. Vermeiden Sie direkte Sonneneinstrahlung, um Lichtreflexionen zu minimieren.</w:t>
      </w:r>
    </w:p>
    <w:p>
      <w:pPr>
        <w:pStyle w:val="Heading2"/>
      </w:pPr>
      <w:r>
        <w:t>Step 2</w:t>
      </w:r>
    </w:p>
    <w:p>
      <w:pPr>
        <w:pStyle w:val="Heading3"/>
      </w:pPr>
      <w:r>
        <w:t>Description</w:t>
      </w:r>
    </w:p>
    <w:p>
      <w:r>
        <w:t>Positionieren Sie das zu scannende Artefakt auf der Plattform des Scanners. Achten Sie darauf, dass das Artefakt stabil und in einem geeigneten Abstand zum Scanner platziert ist.</w:t>
      </w:r>
    </w:p>
    <w:p>
      <w:pPr>
        <w:pStyle w:val="Heading2"/>
      </w:pPr>
      <w:r>
        <w:t>Step 3</w:t>
      </w:r>
    </w:p>
    <w:p>
      <w:pPr>
        <w:pStyle w:val="Heading3"/>
      </w:pPr>
      <w:r>
        <w:t>Description</w:t>
      </w:r>
    </w:p>
    <w:p>
      <w:r>
        <w:t>Schließen Sie den ASCAND-Scanner an einen Computer an und starten Sie die Software. Überprüfen Sie, ob alle Verbindungen sicher sind.</w:t>
      </w:r>
    </w:p>
    <w:p>
      <w:pPr>
        <w:pStyle w:val="Heading2"/>
      </w:pPr>
      <w:r>
        <w:t>Step 4</w:t>
      </w:r>
    </w:p>
    <w:p>
      <w:pPr>
        <w:pStyle w:val="Heading3"/>
      </w:pPr>
      <w:r>
        <w:t>Description</w:t>
      </w:r>
    </w:p>
    <w:p>
      <w:r>
        <w:t>Kalibrieren Sie den Scanner gemäß den Anweisungen in der Software, um sicherzustellen, dass die Messungen genau sind.</w:t>
      </w:r>
    </w:p>
    <w:p>
      <w:pPr>
        <w:pStyle w:val="Heading1"/>
      </w:pPr>
      <w:r>
        <w:t>Operation</w:t>
      </w:r>
    </w:p>
    <w:p>
      <w:pPr>
        <w:pStyle w:val="Heading2"/>
      </w:pPr>
      <w:r>
        <w:t>Step 1</w:t>
      </w:r>
    </w:p>
    <w:p>
      <w:pPr>
        <w:pStyle w:val="Heading3"/>
      </w:pPr>
      <w:r>
        <w:t>Description</w:t>
      </w:r>
    </w:p>
    <w:p>
      <w:r>
        <w:t>Wählen Sie im Softwaremenü den Modus für die digitale Erfassung aus.</w:t>
      </w:r>
    </w:p>
    <w:p>
      <w:pPr>
        <w:pStyle w:val="Heading2"/>
      </w:pPr>
      <w:r>
        <w:t>Step 2</w:t>
      </w:r>
    </w:p>
    <w:p>
      <w:pPr>
        <w:pStyle w:val="Heading3"/>
      </w:pPr>
      <w:r>
        <w:t>Description</w:t>
      </w:r>
    </w:p>
    <w:p>
      <w:r>
        <w:t>Starten Sie den Scanvorgang. Der Scanner wird strukturiertes Licht auf das Artefakt projizieren und die reflektierten Muster erfassen.</w:t>
      </w:r>
    </w:p>
    <w:p>
      <w:pPr>
        <w:pStyle w:val="Heading2"/>
      </w:pPr>
      <w:r>
        <w:t>Step 3</w:t>
      </w:r>
    </w:p>
    <w:p>
      <w:pPr>
        <w:pStyle w:val="Heading3"/>
      </w:pPr>
      <w:r>
        <w:t>Description</w:t>
      </w:r>
    </w:p>
    <w:p>
      <w:r>
        <w:t>Beobachten Sie den Scanvorgang auf dem Bildschirm. Die Software zeigt die Erfassung der Punktwolke in Echtzeit an.</w:t>
      </w:r>
    </w:p>
    <w:p>
      <w:pPr>
        <w:pStyle w:val="Heading2"/>
      </w:pPr>
      <w:r>
        <w:t>Step 4</w:t>
      </w:r>
    </w:p>
    <w:p>
      <w:pPr>
        <w:pStyle w:val="Heading3"/>
      </w:pPr>
      <w:r>
        <w:t>Description</w:t>
      </w:r>
    </w:p>
    <w:p>
      <w:r>
        <w:t>Beenden Sie den Scanvorgang, wenn die Punktwolke vollständig erfasst wurde. Stellen Sie sicher, dass alle gewünschten Ansichten des Artefakts abgedeckt sind.</w:t>
      </w:r>
    </w:p>
    <w:p>
      <w:pPr>
        <w:pStyle w:val="Heading1"/>
      </w:pPr>
      <w:r>
        <w:t>Data Recording</w:t>
      </w:r>
    </w:p>
    <w:p>
      <w:pPr>
        <w:pStyle w:val="Heading2"/>
      </w:pPr>
      <w:r>
        <w:t>Step 1</w:t>
      </w:r>
    </w:p>
    <w:p>
      <w:pPr>
        <w:pStyle w:val="Heading3"/>
      </w:pPr>
      <w:r>
        <w:t>Description</w:t>
      </w:r>
    </w:p>
    <w:p>
      <w:r>
        <w:t>Speichern Sie die erfassten Daten im geeigneten Format (z. B. STL oder OBJ) auf dem Computer.</w:t>
      </w:r>
    </w:p>
    <w:p>
      <w:pPr>
        <w:pStyle w:val="Heading2"/>
      </w:pPr>
      <w:r>
        <w:t>Step 2</w:t>
      </w:r>
    </w:p>
    <w:p>
      <w:pPr>
        <w:pStyle w:val="Heading3"/>
      </w:pPr>
      <w:r>
        <w:t>Description</w:t>
      </w:r>
    </w:p>
    <w:p>
      <w:r>
        <w:t>Dokumentieren Sie die Einstellungen und Bedingungen des Scans, einschließlich der verwendeten Kalibrierung und der Umgebungsbedingungen.</w:t>
      </w:r>
    </w:p>
    <w:p>
      <w:pPr>
        <w:pStyle w:val="Heading1"/>
      </w:pPr>
      <w:r>
        <w:t>Analysis</w:t>
      </w:r>
    </w:p>
    <w:p>
      <w:pPr>
        <w:pStyle w:val="Heading2"/>
      </w:pPr>
      <w:r>
        <w:t>Step 1</w:t>
      </w:r>
    </w:p>
    <w:p>
      <w:pPr>
        <w:pStyle w:val="Heading3"/>
      </w:pPr>
      <w:r>
        <w:t>Description</w:t>
      </w:r>
    </w:p>
    <w:p>
      <w:r>
        <w:t>Öffnen Sie die gespeicherte Punktwolke in einer geeigneten Software zur Analyse und Visualisierung.</w:t>
      </w:r>
    </w:p>
    <w:p>
      <w:pPr>
        <w:pStyle w:val="Heading2"/>
      </w:pPr>
      <w:r>
        <w:t>Step 2</w:t>
      </w:r>
    </w:p>
    <w:p>
      <w:pPr>
        <w:pStyle w:val="Heading3"/>
      </w:pPr>
      <w:r>
        <w:t>Description</w:t>
      </w:r>
    </w:p>
    <w:p>
      <w:r>
        <w:t>Führen Sie eine Mesh-Erstellung durch, um die digitale Oberfläche des Artefakts zu generieren.</w:t>
      </w:r>
    </w:p>
    <w:p>
      <w:pPr>
        <w:pStyle w:val="Heading2"/>
      </w:pPr>
      <w:r>
        <w:t>Step 3</w:t>
      </w:r>
    </w:p>
    <w:p>
      <w:pPr>
        <w:pStyle w:val="Heading3"/>
      </w:pPr>
      <w:r>
        <w:t>Description</w:t>
      </w:r>
    </w:p>
    <w:p>
      <w:r>
        <w:t>Analysieren Sie das Mesh auf Unregelmäßigkeiten oder Fehler, die während des Scanvorgangs auftreten können.</w:t>
      </w:r>
    </w:p>
    <w:p>
      <w:pPr>
        <w:pStyle w:val="Heading2"/>
      </w:pPr>
      <w:r>
        <w:t>Step 4</w:t>
      </w:r>
    </w:p>
    <w:p>
      <w:pPr>
        <w:pStyle w:val="Heading3"/>
      </w:pPr>
      <w:r>
        <w:t>Description</w:t>
      </w:r>
    </w:p>
    <w:p>
      <w:r>
        <w:t>Nutzen Sie KI-gestützte Werkzeuge zur Verbesserung der Datenqualität, falls notwendig.</w:t>
      </w:r>
    </w:p>
    <w:p>
      <w:pPr>
        <w:pStyle w:val="Heading1"/>
      </w:pPr>
      <w:r>
        <w:t>Cleanup</w:t>
      </w:r>
    </w:p>
    <w:p>
      <w:pPr>
        <w:pStyle w:val="Heading2"/>
      </w:pPr>
      <w:r>
        <w:t>Step 1</w:t>
      </w:r>
    </w:p>
    <w:p>
      <w:pPr>
        <w:pStyle w:val="Heading3"/>
      </w:pPr>
      <w:r>
        <w:t>Description</w:t>
      </w:r>
    </w:p>
    <w:p>
      <w:r>
        <w:t>Trennen Sie den ASCAND-Scanner sicher vom Computer.</w:t>
      </w:r>
    </w:p>
    <w:p>
      <w:pPr>
        <w:pStyle w:val="Heading2"/>
      </w:pPr>
      <w:r>
        <w:t>Step 2</w:t>
      </w:r>
    </w:p>
    <w:p>
      <w:pPr>
        <w:pStyle w:val="Heading3"/>
      </w:pPr>
      <w:r>
        <w:t>Description</w:t>
      </w:r>
    </w:p>
    <w:p>
      <w:r>
        <w:t>Reinigen Sie die Scanneroberfläche und die Plattform, um Staub und Rückstände zu entfernen.</w:t>
      </w:r>
    </w:p>
    <w:p>
      <w:pPr>
        <w:pStyle w:val="Heading2"/>
      </w:pPr>
      <w:r>
        <w:t>Step 3</w:t>
      </w:r>
    </w:p>
    <w:p>
      <w:pPr>
        <w:pStyle w:val="Heading3"/>
      </w:pPr>
      <w:r>
        <w:t>Description</w:t>
      </w:r>
    </w:p>
    <w:p>
      <w:r>
        <w:t>Lagern Sie den Scanner und das Zubehör sicher an einem vorgesehenen Ort.</w:t>
      </w:r>
    </w:p>
    <w:p>
      <w:pPr>
        <w:pStyle w:val="Heading1"/>
      </w:pPr>
      <w:r>
        <w:t>Conclusion</w:t>
      </w:r>
    </w:p>
    <w:p>
      <w:r>
        <w:t>Durch die Anwendung dieser Schritte können Schüler wertvolle Erfahrungen in der digitalen Erhaltung von Kulturgütern sammeln und ein besseres Verständnis für moderne Technologien wie ASCAND, AI und Sensorfusion entwickeln.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